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9F2" w:rsidRDefault="00C534FE" w:rsidP="00C534FE">
      <w:pPr>
        <w:jc w:val="center"/>
        <w:rPr>
          <w:rFonts w:cs="Arial"/>
          <w:b/>
        </w:rPr>
      </w:pPr>
      <w:r>
        <w:rPr>
          <w:rFonts w:cs="Arial"/>
          <w:b/>
        </w:rPr>
        <w:t>III.</w:t>
      </w:r>
    </w:p>
    <w:p w:rsidR="00823979" w:rsidRDefault="00823979" w:rsidP="004A2155">
      <w:pPr>
        <w:jc w:val="center"/>
        <w:rPr>
          <w:rFonts w:cs="Arial"/>
          <w:b/>
        </w:rPr>
      </w:pPr>
    </w:p>
    <w:p w:rsidR="00823979" w:rsidRDefault="00823979" w:rsidP="004A2155">
      <w:pPr>
        <w:jc w:val="center"/>
        <w:rPr>
          <w:rFonts w:cs="Arial"/>
          <w:b/>
          <w:sz w:val="28"/>
          <w:szCs w:val="28"/>
        </w:rPr>
      </w:pPr>
      <w:r w:rsidRPr="00823979">
        <w:rPr>
          <w:rFonts w:cs="Arial"/>
          <w:b/>
          <w:sz w:val="28"/>
          <w:szCs w:val="28"/>
        </w:rPr>
        <w:t xml:space="preserve">Odůvodnění </w:t>
      </w:r>
    </w:p>
    <w:p w:rsidR="00A94948" w:rsidRPr="00823979" w:rsidRDefault="00A94948" w:rsidP="004A2155">
      <w:pPr>
        <w:jc w:val="center"/>
        <w:rPr>
          <w:rFonts w:cs="Arial"/>
          <w:b/>
          <w:sz w:val="28"/>
          <w:szCs w:val="28"/>
        </w:rPr>
      </w:pPr>
    </w:p>
    <w:p w:rsidR="00823979" w:rsidRPr="006173DD" w:rsidRDefault="00823979" w:rsidP="00823979">
      <w:pPr>
        <w:tabs>
          <w:tab w:val="left" w:pos="540"/>
        </w:tabs>
        <w:spacing w:before="60" w:after="60"/>
        <w:ind w:left="540" w:hanging="540"/>
        <w:jc w:val="both"/>
        <w:rPr>
          <w:rFonts w:cs="Arial"/>
          <w:b/>
          <w:spacing w:val="-3"/>
          <w:sz w:val="28"/>
          <w:szCs w:val="28"/>
          <w:u w:val="single"/>
        </w:rPr>
      </w:pPr>
      <w:r w:rsidRPr="006173DD">
        <w:rPr>
          <w:rFonts w:cs="Arial"/>
          <w:b/>
          <w:spacing w:val="-3"/>
          <w:sz w:val="28"/>
          <w:szCs w:val="28"/>
          <w:u w:val="single"/>
        </w:rPr>
        <w:t>I. Obecná část</w:t>
      </w:r>
    </w:p>
    <w:p w:rsidR="00823979" w:rsidRDefault="00823979" w:rsidP="00823979">
      <w:pPr>
        <w:jc w:val="both"/>
        <w:rPr>
          <w:rFonts w:cs="Arial"/>
          <w:b/>
        </w:rPr>
      </w:pPr>
    </w:p>
    <w:p w:rsidR="009D2425" w:rsidRPr="00382AD9" w:rsidRDefault="009D2425" w:rsidP="004A2155">
      <w:pPr>
        <w:jc w:val="center"/>
        <w:rPr>
          <w:rFonts w:cs="Arial"/>
          <w:b/>
        </w:rPr>
      </w:pPr>
    </w:p>
    <w:p w:rsidR="004A2155" w:rsidRPr="00382AD9" w:rsidRDefault="004A2155" w:rsidP="00823979">
      <w:pPr>
        <w:rPr>
          <w:rFonts w:cs="Arial"/>
          <w:b/>
        </w:rPr>
      </w:pPr>
      <w:r w:rsidRPr="00382AD9">
        <w:rPr>
          <w:rFonts w:cs="Arial"/>
          <w:b/>
        </w:rPr>
        <w:t>ZÁVĚREČNÁ ZPRÁVA Z HODNOCENÍ DOPADŮ REGULACE</w:t>
      </w:r>
    </w:p>
    <w:p w:rsidR="004A2155" w:rsidRPr="00382AD9" w:rsidRDefault="004A2155" w:rsidP="004A2155">
      <w:pPr>
        <w:rPr>
          <w:rFonts w:cs="Arial"/>
        </w:rPr>
      </w:pPr>
    </w:p>
    <w:p w:rsidR="00EA276E" w:rsidRPr="00382AD9" w:rsidRDefault="00EA276E" w:rsidP="004A2155">
      <w:pPr>
        <w:rPr>
          <w:rFonts w:cs="Arial"/>
        </w:rPr>
      </w:pPr>
    </w:p>
    <w:p w:rsidR="00CB3200" w:rsidRPr="00382AD9" w:rsidRDefault="00CB3200" w:rsidP="004A2155">
      <w:pPr>
        <w:rPr>
          <w:rFonts w:cs="Arial"/>
        </w:rPr>
      </w:pPr>
    </w:p>
    <w:p w:rsidR="004A2155" w:rsidRPr="00382AD9" w:rsidRDefault="004A2155" w:rsidP="004A2155">
      <w:pPr>
        <w:rPr>
          <w:rFonts w:cs="Arial"/>
          <w:b/>
        </w:rPr>
      </w:pPr>
      <w:r w:rsidRPr="00382AD9">
        <w:rPr>
          <w:rFonts w:cs="Arial"/>
          <w:b/>
        </w:rPr>
        <w:t>1.</w:t>
      </w:r>
      <w:r w:rsidRPr="00382AD9">
        <w:rPr>
          <w:rFonts w:cs="Arial"/>
          <w:b/>
        </w:rPr>
        <w:tab/>
        <w:t>Důvod předložení a cíle</w:t>
      </w:r>
    </w:p>
    <w:p w:rsidR="004A2155" w:rsidRPr="00382AD9" w:rsidRDefault="00D12481" w:rsidP="004A2155">
      <w:pPr>
        <w:rPr>
          <w:rFonts w:cs="Arial"/>
        </w:rPr>
      </w:pPr>
      <w:r w:rsidRPr="00382AD9">
        <w:rPr>
          <w:rFonts w:cs="Arial"/>
        </w:rPr>
        <w:tab/>
      </w:r>
    </w:p>
    <w:p w:rsidR="004A2155" w:rsidRPr="00382AD9" w:rsidRDefault="004A2155" w:rsidP="004A2155">
      <w:pPr>
        <w:rPr>
          <w:rFonts w:cs="Arial"/>
          <w:b/>
        </w:rPr>
      </w:pPr>
      <w:r w:rsidRPr="00382AD9">
        <w:rPr>
          <w:rFonts w:cs="Arial"/>
          <w:b/>
        </w:rPr>
        <w:t>1.1</w:t>
      </w:r>
      <w:r w:rsidRPr="00382AD9">
        <w:rPr>
          <w:rFonts w:cs="Arial"/>
          <w:b/>
        </w:rPr>
        <w:tab/>
        <w:t>Název</w:t>
      </w:r>
    </w:p>
    <w:p w:rsidR="00846FD5" w:rsidRPr="00382AD9" w:rsidRDefault="00D12481" w:rsidP="004A2155">
      <w:pPr>
        <w:rPr>
          <w:rFonts w:cs="Arial"/>
        </w:rPr>
      </w:pPr>
      <w:r w:rsidRPr="00382AD9">
        <w:rPr>
          <w:rFonts w:cs="Arial"/>
        </w:rPr>
        <w:tab/>
      </w:r>
    </w:p>
    <w:p w:rsidR="00A34793" w:rsidRPr="00382AD9" w:rsidRDefault="00BE660C" w:rsidP="00CB3200">
      <w:pPr>
        <w:ind w:firstLine="708"/>
        <w:jc w:val="both"/>
        <w:rPr>
          <w:rFonts w:cs="Arial"/>
        </w:rPr>
      </w:pPr>
      <w:r w:rsidRPr="00BE660C">
        <w:rPr>
          <w:rFonts w:eastAsia="Calibri" w:cs="Arial"/>
        </w:rPr>
        <w:t>Návrh vyhlášky, kterou se mění vyhláška č.</w:t>
      </w:r>
      <w:r w:rsidR="00A07788">
        <w:rPr>
          <w:rFonts w:eastAsia="Calibri" w:cs="Arial"/>
        </w:rPr>
        <w:t xml:space="preserve"> </w:t>
      </w:r>
      <w:r w:rsidRPr="00BE660C">
        <w:rPr>
          <w:rFonts w:eastAsia="Calibri" w:cs="Arial"/>
        </w:rPr>
        <w:t>183/2018 Sb.</w:t>
      </w:r>
      <w:r w:rsidR="00343B5E">
        <w:rPr>
          <w:rFonts w:eastAsia="Calibri" w:cs="Arial"/>
        </w:rPr>
        <w:t>,</w:t>
      </w:r>
      <w:r w:rsidRPr="00BE660C">
        <w:rPr>
          <w:rFonts w:eastAsia="Calibri" w:cs="Arial"/>
        </w:rPr>
        <w:t xml:space="preserve"> o náležitostech rozhodnutí a</w:t>
      </w:r>
      <w:r w:rsidR="00C84BE3">
        <w:rPr>
          <w:rFonts w:eastAsia="Calibri" w:cs="Arial"/>
        </w:rPr>
        <w:t> </w:t>
      </w:r>
      <w:r w:rsidRPr="00BE660C">
        <w:rPr>
          <w:rFonts w:eastAsia="Calibri" w:cs="Arial"/>
        </w:rPr>
        <w:t>dalších opatření vodoprávního úřadu a o dokladech předkládaných vodoprávnímu úřadu</w:t>
      </w:r>
      <w:r w:rsidR="00A34793" w:rsidRPr="003D3842">
        <w:rPr>
          <w:rFonts w:cs="Arial"/>
        </w:rPr>
        <w:t>.</w:t>
      </w:r>
      <w:r w:rsidR="00A34793" w:rsidRPr="00382AD9">
        <w:rPr>
          <w:rFonts w:cs="Arial"/>
        </w:rPr>
        <w:t xml:space="preserve"> </w:t>
      </w:r>
    </w:p>
    <w:p w:rsidR="00476EF2" w:rsidRPr="00382AD9" w:rsidRDefault="00476EF2" w:rsidP="004A2155">
      <w:pPr>
        <w:rPr>
          <w:rFonts w:cs="Arial"/>
          <w:b/>
        </w:rPr>
      </w:pPr>
    </w:p>
    <w:p w:rsidR="004A2155" w:rsidRPr="00382AD9" w:rsidRDefault="004A2155" w:rsidP="004A2155">
      <w:pPr>
        <w:rPr>
          <w:rFonts w:cs="Arial"/>
          <w:b/>
        </w:rPr>
      </w:pPr>
      <w:r w:rsidRPr="00382AD9">
        <w:rPr>
          <w:rFonts w:cs="Arial"/>
          <w:b/>
        </w:rPr>
        <w:t>1.2</w:t>
      </w:r>
      <w:r w:rsidRPr="00382AD9">
        <w:rPr>
          <w:rFonts w:cs="Arial"/>
          <w:b/>
        </w:rPr>
        <w:tab/>
        <w:t>Definice problému</w:t>
      </w:r>
    </w:p>
    <w:p w:rsidR="004A2155" w:rsidRPr="00382AD9" w:rsidRDefault="004A2155" w:rsidP="004A2155">
      <w:pPr>
        <w:rPr>
          <w:rFonts w:cs="Arial"/>
        </w:rPr>
      </w:pPr>
    </w:p>
    <w:p w:rsidR="003038B1" w:rsidRPr="003038B1" w:rsidRDefault="003038B1" w:rsidP="003038B1">
      <w:pPr>
        <w:spacing w:after="120" w:line="276" w:lineRule="auto"/>
        <w:ind w:firstLine="709"/>
        <w:jc w:val="both"/>
        <w:rPr>
          <w:rFonts w:eastAsia="Calibri" w:cs="Arial"/>
        </w:rPr>
      </w:pPr>
      <w:r w:rsidRPr="003038B1">
        <w:rPr>
          <w:rFonts w:eastAsia="Calibri" w:cs="Arial"/>
        </w:rPr>
        <w:t>Návrh vyhlášky, kterou se mění vyhláška č.183/2018 Sb.</w:t>
      </w:r>
      <w:r w:rsidR="00343B5E">
        <w:rPr>
          <w:rFonts w:eastAsia="Calibri" w:cs="Arial"/>
        </w:rPr>
        <w:t>,</w:t>
      </w:r>
      <w:bookmarkStart w:id="0" w:name="_GoBack"/>
      <w:bookmarkEnd w:id="0"/>
      <w:r w:rsidRPr="003038B1">
        <w:rPr>
          <w:rFonts w:eastAsia="Calibri" w:cs="Arial"/>
        </w:rPr>
        <w:t xml:space="preserve"> o náležitostech rozhodnutí a</w:t>
      </w:r>
      <w:r w:rsidR="00A94948">
        <w:rPr>
          <w:rFonts w:eastAsia="Calibri" w:cs="Arial"/>
        </w:rPr>
        <w:t> </w:t>
      </w:r>
      <w:r w:rsidRPr="003038B1">
        <w:rPr>
          <w:rFonts w:eastAsia="Calibri" w:cs="Arial"/>
        </w:rPr>
        <w:t>dalších opatření vodoprávního úřadu a o dokladech předkládaných vodoprávnímu úřadu, reaguje na novelu vodního zákona (zákon č. 113/2018 Sb.), která vstoupila v platnost dne 15. 6. 2018 a účinnost</w:t>
      </w:r>
      <w:r w:rsidR="00A07788">
        <w:rPr>
          <w:rFonts w:eastAsia="Calibri" w:cs="Arial"/>
        </w:rPr>
        <w:t>i</w:t>
      </w:r>
      <w:r w:rsidRPr="003038B1">
        <w:rPr>
          <w:rFonts w:eastAsia="Calibri" w:cs="Arial"/>
        </w:rPr>
        <w:t xml:space="preserve"> </w:t>
      </w:r>
      <w:r w:rsidR="00A07788">
        <w:rPr>
          <w:rFonts w:eastAsia="Calibri" w:cs="Arial"/>
        </w:rPr>
        <w:t>naby</w:t>
      </w:r>
      <w:r w:rsidRPr="003038B1">
        <w:rPr>
          <w:rFonts w:eastAsia="Calibri" w:cs="Arial"/>
        </w:rPr>
        <w:t xml:space="preserve">la dne 1. 1. 2019. Novela vodního zákona rozšiřuje počet případů, pro které je od 1. 1. 2019 třeba souhlas vodoprávního úřadu tím, že do § 17 odst. 1 vodního zákona bylo vloženo nové písmeno i), podle kterého je třeba souhlasu vodoprávního úřadu ke geologickým pracím spojeným se zásahem do pozemku, jejichž cílem je následné využití průzkumného díla na stavbu k jímání podzemní vody nebo pro vrty pro využívání energetického potenciálu podzemních vod. </w:t>
      </w:r>
    </w:p>
    <w:p w:rsidR="003038B1" w:rsidRDefault="003038B1" w:rsidP="003038B1">
      <w:pPr>
        <w:spacing w:after="120" w:line="276" w:lineRule="auto"/>
        <w:ind w:firstLine="709"/>
        <w:jc w:val="both"/>
        <w:rPr>
          <w:rFonts w:eastAsia="Calibri" w:cs="Arial"/>
        </w:rPr>
      </w:pPr>
      <w:r w:rsidRPr="003038B1">
        <w:rPr>
          <w:rFonts w:eastAsia="Calibri" w:cs="Arial"/>
        </w:rPr>
        <w:t>Zatímco pro souhlasy podle § 17 odst. 1 písm. a) až h) vodního zákona stanoví vyhláška č. 183/2018 Sb. výčet dokladů, které musí žadatel o souhlas předložit vodoprávnímu úřadu společně s žádostí o souhlas, pro souhlas podle § 17 odst. 1 pí</w:t>
      </w:r>
      <w:r w:rsidR="00DE561D">
        <w:rPr>
          <w:rFonts w:eastAsia="Calibri" w:cs="Arial"/>
        </w:rPr>
        <w:t>s</w:t>
      </w:r>
      <w:r w:rsidRPr="003038B1">
        <w:rPr>
          <w:rFonts w:eastAsia="Calibri" w:cs="Arial"/>
        </w:rPr>
        <w:t xml:space="preserve">m. i) žádné doklady nezbytné pro rozhodnutí vodoprávního úřadu stanoveny nejsou. Za stávající právní úpravy </w:t>
      </w:r>
      <w:r w:rsidR="00D0575C">
        <w:rPr>
          <w:rFonts w:eastAsia="Calibri" w:cs="Arial"/>
        </w:rPr>
        <w:t>jsou</w:t>
      </w:r>
      <w:r w:rsidRPr="003038B1">
        <w:rPr>
          <w:rFonts w:eastAsia="Calibri" w:cs="Arial"/>
        </w:rPr>
        <w:t xml:space="preserve"> vodoprávní úřady povinny rozhodovat o žádostech o souhlas podle § 17 odst. 1 písm. i) vodního zákona i bez předložení nezbytných dokladů, resp. </w:t>
      </w:r>
      <w:r w:rsidR="00D0575C">
        <w:rPr>
          <w:rFonts w:eastAsia="Calibri" w:cs="Arial"/>
        </w:rPr>
        <w:t xml:space="preserve">mohou být </w:t>
      </w:r>
      <w:r w:rsidRPr="003038B1">
        <w:rPr>
          <w:rFonts w:eastAsia="Calibri" w:cs="Arial"/>
        </w:rPr>
        <w:t>povinny si podklady nezbytné pro vydání rozhodnutí o souhlasu obstarat samy. Takový postup by však představoval pro vodoprávní úřady značnou finanční i administrativní zátěž. Z tohoto důvodu se navrhuje doplnění přílohy č. 11 vyhlášky č. 183/2018 Sb. o nezbytné doklady, které musí žadatel o souhlas vodoprávnímu úřadu předložit společně s žádostí o</w:t>
      </w:r>
      <w:r w:rsidR="00C84BE3">
        <w:rPr>
          <w:rFonts w:eastAsia="Calibri" w:cs="Arial"/>
        </w:rPr>
        <w:t> </w:t>
      </w:r>
      <w:r w:rsidRPr="003038B1">
        <w:rPr>
          <w:rFonts w:eastAsia="Calibri" w:cs="Arial"/>
        </w:rPr>
        <w:t>souhlas.</w:t>
      </w:r>
    </w:p>
    <w:p w:rsidR="00DC5967" w:rsidRPr="00382AD9" w:rsidRDefault="00DC5967" w:rsidP="005666C2">
      <w:pPr>
        <w:jc w:val="both"/>
        <w:rPr>
          <w:rFonts w:cs="Arial"/>
        </w:rPr>
      </w:pPr>
    </w:p>
    <w:p w:rsidR="004A2155" w:rsidRPr="00382AD9" w:rsidRDefault="004A2155" w:rsidP="004A2155">
      <w:pPr>
        <w:rPr>
          <w:rFonts w:cs="Arial"/>
          <w:b/>
        </w:rPr>
      </w:pPr>
      <w:r w:rsidRPr="00382AD9">
        <w:rPr>
          <w:rFonts w:cs="Arial"/>
          <w:b/>
        </w:rPr>
        <w:t>1.3</w:t>
      </w:r>
      <w:r w:rsidRPr="00382AD9">
        <w:rPr>
          <w:rFonts w:cs="Arial"/>
          <w:b/>
        </w:rPr>
        <w:tab/>
        <w:t>Popis existujícího právního stavu v dané oblasti</w:t>
      </w:r>
    </w:p>
    <w:p w:rsidR="00536B6B" w:rsidRPr="00382AD9" w:rsidRDefault="00536B6B" w:rsidP="00574F18">
      <w:pPr>
        <w:jc w:val="both"/>
        <w:rPr>
          <w:rFonts w:cs="Arial"/>
          <w:highlight w:val="yellow"/>
        </w:rPr>
      </w:pPr>
    </w:p>
    <w:p w:rsidR="00536B6B" w:rsidRPr="00382AD9" w:rsidRDefault="0078314D" w:rsidP="00574F18">
      <w:pPr>
        <w:jc w:val="both"/>
        <w:rPr>
          <w:rFonts w:cs="Arial"/>
          <w:b/>
        </w:rPr>
      </w:pPr>
      <w:r w:rsidRPr="00382AD9">
        <w:rPr>
          <w:rFonts w:cs="Arial"/>
          <w:b/>
        </w:rPr>
        <w:t>U</w:t>
      </w:r>
      <w:r w:rsidR="00536B6B" w:rsidRPr="00382AD9">
        <w:rPr>
          <w:rFonts w:cs="Arial"/>
          <w:b/>
        </w:rPr>
        <w:t xml:space="preserve">stanovení § </w:t>
      </w:r>
      <w:r w:rsidR="00F2555F" w:rsidRPr="00382AD9">
        <w:rPr>
          <w:rFonts w:cs="Arial"/>
          <w:b/>
        </w:rPr>
        <w:t>115 odst. 2</w:t>
      </w:r>
      <w:r w:rsidR="00536B6B" w:rsidRPr="00382AD9">
        <w:rPr>
          <w:rFonts w:cs="Arial"/>
          <w:b/>
        </w:rPr>
        <w:t xml:space="preserve"> </w:t>
      </w:r>
      <w:r w:rsidR="00F2555F" w:rsidRPr="00382AD9">
        <w:rPr>
          <w:rFonts w:cs="Arial"/>
          <w:b/>
        </w:rPr>
        <w:t>vodního</w:t>
      </w:r>
      <w:r w:rsidR="00CB393D">
        <w:rPr>
          <w:rFonts w:cs="Arial"/>
          <w:b/>
        </w:rPr>
        <w:t xml:space="preserve"> zákona</w:t>
      </w:r>
    </w:p>
    <w:p w:rsidR="00876B83" w:rsidRPr="00382AD9" w:rsidRDefault="00876B83" w:rsidP="009C3AF0">
      <w:pPr>
        <w:jc w:val="both"/>
        <w:rPr>
          <w:rFonts w:cs="Arial"/>
        </w:rPr>
      </w:pPr>
    </w:p>
    <w:p w:rsidR="00395486" w:rsidRPr="00382AD9" w:rsidRDefault="009C3AF0" w:rsidP="00EC69FC">
      <w:pPr>
        <w:spacing w:after="120" w:line="276" w:lineRule="auto"/>
        <w:ind w:firstLine="709"/>
        <w:jc w:val="both"/>
        <w:rPr>
          <w:rFonts w:eastAsia="Calibri" w:cs="Arial"/>
        </w:rPr>
      </w:pPr>
      <w:r w:rsidRPr="00382AD9">
        <w:rPr>
          <w:rFonts w:eastAsia="Calibri" w:cs="Arial"/>
        </w:rPr>
        <w:t>V</w:t>
      </w:r>
      <w:r w:rsidR="00B12CE9" w:rsidRPr="00382AD9">
        <w:rPr>
          <w:rFonts w:eastAsia="Calibri" w:cs="Arial"/>
        </w:rPr>
        <w:t xml:space="preserve"> současné době </w:t>
      </w:r>
      <w:r w:rsidRPr="00382AD9">
        <w:rPr>
          <w:rFonts w:eastAsia="Calibri" w:cs="Arial"/>
        </w:rPr>
        <w:t>je</w:t>
      </w:r>
      <w:r w:rsidR="00F2555F" w:rsidRPr="00382AD9">
        <w:rPr>
          <w:rFonts w:eastAsia="Calibri" w:cs="Arial"/>
        </w:rPr>
        <w:t xml:space="preserve"> ustanovením</w:t>
      </w:r>
      <w:r w:rsidR="00B12CE9" w:rsidRPr="00382AD9">
        <w:rPr>
          <w:rFonts w:eastAsia="Calibri" w:cs="Arial"/>
        </w:rPr>
        <w:t xml:space="preserve"> </w:t>
      </w:r>
      <w:r w:rsidR="00F2555F" w:rsidRPr="00382AD9">
        <w:rPr>
          <w:rFonts w:eastAsia="Calibri" w:cs="Arial"/>
        </w:rPr>
        <w:t>§ 115 odst. 2 vodního zákona dáno zmocnění pro</w:t>
      </w:r>
      <w:r w:rsidR="00F2555F" w:rsidRPr="00382AD9">
        <w:rPr>
          <w:rFonts w:cs="Arial"/>
        </w:rPr>
        <w:t xml:space="preserve"> </w:t>
      </w:r>
      <w:r w:rsidR="00F2555F" w:rsidRPr="00382AD9">
        <w:rPr>
          <w:rFonts w:eastAsia="Calibri" w:cs="Arial"/>
        </w:rPr>
        <w:t>prováděcí předpis stanovit, v kterých případech a jaké dok</w:t>
      </w:r>
      <w:r w:rsidR="00CB393D">
        <w:rPr>
          <w:rFonts w:eastAsia="Calibri" w:cs="Arial"/>
        </w:rPr>
        <w:t>lady se předkládají k žádosti o </w:t>
      </w:r>
      <w:r w:rsidR="00F2555F" w:rsidRPr="00382AD9">
        <w:rPr>
          <w:rFonts w:eastAsia="Calibri" w:cs="Arial"/>
        </w:rPr>
        <w:t xml:space="preserve">rozhodnutí, kolaudační souhlas, stanovení ochranného pásma vodního díla, stanovení </w:t>
      </w:r>
      <w:r w:rsidR="00F2555F" w:rsidRPr="00382AD9">
        <w:rPr>
          <w:rFonts w:eastAsia="Calibri" w:cs="Arial"/>
        </w:rPr>
        <w:lastRenderedPageBreak/>
        <w:t>ochranného pásma vodního zdroje nebo vyjádření k ohlášení, jakož i náležitosti rozhodnutí, opatření obecné povahy, souhlasů a vyjádření.</w:t>
      </w:r>
    </w:p>
    <w:p w:rsidR="00A06615" w:rsidRPr="00382AD9" w:rsidRDefault="00A82D7A" w:rsidP="007541B4">
      <w:pPr>
        <w:spacing w:after="120" w:line="276" w:lineRule="auto"/>
        <w:ind w:firstLine="709"/>
        <w:jc w:val="both"/>
        <w:rPr>
          <w:rFonts w:cs="Arial"/>
        </w:rPr>
      </w:pPr>
      <w:r w:rsidRPr="003D3842">
        <w:rPr>
          <w:rFonts w:eastAsia="Calibri" w:cs="Arial"/>
        </w:rPr>
        <w:t>S</w:t>
      </w:r>
      <w:r w:rsidR="009C3AF0" w:rsidRPr="003D3842">
        <w:rPr>
          <w:rFonts w:eastAsia="Calibri" w:cs="Arial"/>
        </w:rPr>
        <w:t>oučasn</w:t>
      </w:r>
      <w:r w:rsidR="00F2555F" w:rsidRPr="003D3842">
        <w:rPr>
          <w:rFonts w:eastAsia="Calibri" w:cs="Arial"/>
        </w:rPr>
        <w:t>ou</w:t>
      </w:r>
      <w:r w:rsidR="00CB393D" w:rsidRPr="003D3842">
        <w:rPr>
          <w:rFonts w:eastAsia="Calibri" w:cs="Arial"/>
        </w:rPr>
        <w:t xml:space="preserve"> právní</w:t>
      </w:r>
      <w:r w:rsidR="009C3AF0" w:rsidRPr="003D3842">
        <w:rPr>
          <w:rFonts w:eastAsia="Calibri" w:cs="Arial"/>
        </w:rPr>
        <w:t xml:space="preserve"> úprav</w:t>
      </w:r>
      <w:r w:rsidRPr="003D3842">
        <w:rPr>
          <w:rFonts w:eastAsia="Calibri" w:cs="Arial"/>
        </w:rPr>
        <w:t>u</w:t>
      </w:r>
      <w:r w:rsidR="00CB393D" w:rsidRPr="003D3842">
        <w:rPr>
          <w:rFonts w:eastAsia="Calibri" w:cs="Arial"/>
        </w:rPr>
        <w:t>, kterou představuje</w:t>
      </w:r>
      <w:r w:rsidR="009C3AF0" w:rsidRPr="003D3842">
        <w:rPr>
          <w:rFonts w:eastAsia="Calibri" w:cs="Arial"/>
        </w:rPr>
        <w:t xml:space="preserve"> </w:t>
      </w:r>
      <w:r w:rsidRPr="003D3842">
        <w:rPr>
          <w:rFonts w:eastAsia="Calibri" w:cs="Arial"/>
        </w:rPr>
        <w:t>vyhlášk</w:t>
      </w:r>
      <w:r w:rsidR="00CB393D" w:rsidRPr="003D3842">
        <w:rPr>
          <w:rFonts w:eastAsia="Calibri" w:cs="Arial"/>
        </w:rPr>
        <w:t>a</w:t>
      </w:r>
      <w:r w:rsidRPr="003D3842">
        <w:rPr>
          <w:rFonts w:eastAsia="Calibri" w:cs="Arial"/>
        </w:rPr>
        <w:t xml:space="preserve"> č. </w:t>
      </w:r>
      <w:r w:rsidR="007541B4">
        <w:rPr>
          <w:rFonts w:eastAsia="Calibri" w:cs="Arial"/>
        </w:rPr>
        <w:t>183/2018</w:t>
      </w:r>
      <w:r w:rsidRPr="003D3842">
        <w:rPr>
          <w:rFonts w:eastAsia="Calibri" w:cs="Arial"/>
        </w:rPr>
        <w:t xml:space="preserve"> Sb.</w:t>
      </w:r>
      <w:r w:rsidR="00CB393D" w:rsidRPr="003D3842">
        <w:rPr>
          <w:rFonts w:eastAsia="Calibri" w:cs="Arial"/>
        </w:rPr>
        <w:t>,</w:t>
      </w:r>
      <w:r w:rsidRPr="003D3842">
        <w:rPr>
          <w:rFonts w:eastAsia="Calibri" w:cs="Arial"/>
        </w:rPr>
        <w:t xml:space="preserve"> </w:t>
      </w:r>
      <w:r w:rsidR="00F2555F" w:rsidRPr="003D3842">
        <w:rPr>
          <w:rFonts w:eastAsia="Calibri" w:cs="Arial"/>
        </w:rPr>
        <w:t>je nutno rozšířit o nov</w:t>
      </w:r>
      <w:r w:rsidR="007541B4">
        <w:rPr>
          <w:rFonts w:eastAsia="Calibri" w:cs="Arial"/>
        </w:rPr>
        <w:t>ý formulář, respektive doplnit novou variantu záměru do stávajícího formuláře v příloze č.</w:t>
      </w:r>
      <w:r w:rsidR="00CD0F37">
        <w:rPr>
          <w:rFonts w:eastAsia="Calibri" w:cs="Arial"/>
        </w:rPr>
        <w:t xml:space="preserve"> </w:t>
      </w:r>
      <w:r w:rsidR="007541B4">
        <w:rPr>
          <w:rFonts w:eastAsia="Calibri" w:cs="Arial"/>
        </w:rPr>
        <w:t>11</w:t>
      </w:r>
      <w:r w:rsidR="00F2555F" w:rsidRPr="003D3842">
        <w:rPr>
          <w:rFonts w:eastAsia="Calibri" w:cs="Arial"/>
        </w:rPr>
        <w:t xml:space="preserve">, </w:t>
      </w:r>
      <w:r w:rsidR="007541B4">
        <w:rPr>
          <w:rFonts w:eastAsia="Calibri" w:cs="Arial"/>
        </w:rPr>
        <w:t xml:space="preserve">tato úprava je reakcí na </w:t>
      </w:r>
      <w:r w:rsidR="007541B4" w:rsidRPr="003038B1">
        <w:rPr>
          <w:rFonts w:eastAsia="Calibri" w:cs="Arial"/>
        </w:rPr>
        <w:t>novelu vodního zákona (zákon č. 113/2018 Sb.), která vstoupila v platnost dne 15. 6. 2018 a v účinnost vstoupila dne 1. 1. 2019</w:t>
      </w:r>
      <w:r w:rsidR="007541B4">
        <w:rPr>
          <w:rFonts w:eastAsia="Calibri" w:cs="Arial"/>
        </w:rPr>
        <w:t>.</w:t>
      </w:r>
    </w:p>
    <w:p w:rsidR="004A2155" w:rsidRPr="00382AD9" w:rsidRDefault="004A2155" w:rsidP="004A2155">
      <w:pPr>
        <w:rPr>
          <w:rFonts w:cs="Arial"/>
          <w:b/>
        </w:rPr>
      </w:pPr>
      <w:r w:rsidRPr="00382AD9">
        <w:rPr>
          <w:rFonts w:cs="Arial"/>
          <w:b/>
        </w:rPr>
        <w:t>1.4</w:t>
      </w:r>
      <w:r w:rsidRPr="00382AD9">
        <w:rPr>
          <w:rFonts w:cs="Arial"/>
          <w:b/>
        </w:rPr>
        <w:tab/>
        <w:t>Identifikace dotčených subjektů</w:t>
      </w:r>
    </w:p>
    <w:p w:rsidR="004A2155" w:rsidRPr="00382AD9" w:rsidRDefault="004A2155" w:rsidP="004A2155">
      <w:pPr>
        <w:rPr>
          <w:rFonts w:cs="Arial"/>
        </w:rPr>
      </w:pPr>
    </w:p>
    <w:p w:rsidR="004A2155" w:rsidRPr="00CB393D" w:rsidRDefault="00BF5D26" w:rsidP="00CB393D">
      <w:pPr>
        <w:spacing w:after="120" w:line="276" w:lineRule="auto"/>
        <w:jc w:val="both"/>
        <w:rPr>
          <w:rFonts w:eastAsia="Calibri" w:cs="Arial"/>
        </w:rPr>
      </w:pPr>
      <w:r w:rsidRPr="00CB393D">
        <w:rPr>
          <w:rFonts w:eastAsia="Calibri" w:cs="Arial"/>
        </w:rPr>
        <w:t>Dotčenými subjekty jsou:</w:t>
      </w:r>
    </w:p>
    <w:p w:rsidR="00F2555F" w:rsidRPr="00382AD9" w:rsidRDefault="00F2555F" w:rsidP="00EC69FC">
      <w:pPr>
        <w:pStyle w:val="Odstavecseseznamem"/>
        <w:numPr>
          <w:ilvl w:val="0"/>
          <w:numId w:val="8"/>
        </w:numPr>
        <w:spacing w:after="120" w:line="276" w:lineRule="auto"/>
        <w:ind w:left="993" w:hanging="720"/>
        <w:jc w:val="both"/>
        <w:rPr>
          <w:rFonts w:eastAsia="Calibri" w:cs="Arial"/>
        </w:rPr>
      </w:pPr>
      <w:r w:rsidRPr="00382AD9">
        <w:rPr>
          <w:rFonts w:eastAsia="Calibri" w:cs="Arial"/>
        </w:rPr>
        <w:t>obecní úřady (§ 105 vodního zákona)</w:t>
      </w:r>
    </w:p>
    <w:p w:rsidR="00F2555F" w:rsidRPr="00382AD9" w:rsidRDefault="00F2555F" w:rsidP="00EC69FC">
      <w:pPr>
        <w:pStyle w:val="Odstavecseseznamem"/>
        <w:numPr>
          <w:ilvl w:val="0"/>
          <w:numId w:val="8"/>
        </w:numPr>
        <w:spacing w:after="120" w:line="276" w:lineRule="auto"/>
        <w:ind w:left="993" w:hanging="720"/>
        <w:jc w:val="both"/>
        <w:rPr>
          <w:rFonts w:eastAsia="Calibri" w:cs="Arial"/>
        </w:rPr>
      </w:pPr>
      <w:r w:rsidRPr="00382AD9">
        <w:rPr>
          <w:rFonts w:eastAsia="Calibri" w:cs="Arial"/>
        </w:rPr>
        <w:t>újezdní úřady na území vojenských újezdů (§ 105 vodního zákona)</w:t>
      </w:r>
    </w:p>
    <w:p w:rsidR="00F2555F" w:rsidRPr="00382AD9" w:rsidRDefault="00F2555F" w:rsidP="00EC69FC">
      <w:pPr>
        <w:pStyle w:val="Odstavecseseznamem"/>
        <w:numPr>
          <w:ilvl w:val="0"/>
          <w:numId w:val="8"/>
        </w:numPr>
        <w:spacing w:after="120" w:line="276" w:lineRule="auto"/>
        <w:ind w:left="993" w:hanging="720"/>
        <w:jc w:val="both"/>
        <w:rPr>
          <w:rFonts w:eastAsia="Calibri" w:cs="Arial"/>
        </w:rPr>
      </w:pPr>
      <w:r w:rsidRPr="00382AD9">
        <w:rPr>
          <w:rFonts w:eastAsia="Calibri" w:cs="Arial"/>
        </w:rPr>
        <w:t>obecní úřady obcí s rozšířenou působností (§ 106 vodního zákona)</w:t>
      </w:r>
    </w:p>
    <w:p w:rsidR="00F2555F" w:rsidRDefault="00F2555F" w:rsidP="00EC69FC">
      <w:pPr>
        <w:pStyle w:val="Odstavecseseznamem"/>
        <w:numPr>
          <w:ilvl w:val="0"/>
          <w:numId w:val="8"/>
        </w:numPr>
        <w:spacing w:after="120" w:line="276" w:lineRule="auto"/>
        <w:ind w:left="993" w:hanging="720"/>
        <w:jc w:val="both"/>
        <w:rPr>
          <w:rFonts w:eastAsia="Calibri" w:cs="Arial"/>
        </w:rPr>
      </w:pPr>
      <w:r w:rsidRPr="00382AD9">
        <w:rPr>
          <w:rFonts w:eastAsia="Calibri" w:cs="Arial"/>
        </w:rPr>
        <w:t>krajské úřady (§ 107 vodního zákona)</w:t>
      </w:r>
    </w:p>
    <w:p w:rsidR="00F2555F" w:rsidRPr="00197EA1" w:rsidRDefault="003D3842" w:rsidP="00197EA1">
      <w:pPr>
        <w:pStyle w:val="Odstavecseseznamem"/>
        <w:numPr>
          <w:ilvl w:val="0"/>
          <w:numId w:val="8"/>
        </w:numPr>
        <w:spacing w:after="120" w:line="276" w:lineRule="auto"/>
        <w:ind w:left="993" w:hanging="720"/>
        <w:jc w:val="both"/>
        <w:rPr>
          <w:rFonts w:eastAsia="Calibri" w:cs="Arial"/>
        </w:rPr>
      </w:pPr>
      <w:r>
        <w:rPr>
          <w:rFonts w:eastAsia="Calibri" w:cs="Arial"/>
        </w:rPr>
        <w:t>ministerstva</w:t>
      </w:r>
      <w:r w:rsidR="00F2555F" w:rsidRPr="00197EA1">
        <w:rPr>
          <w:rFonts w:eastAsia="Calibri" w:cs="Arial"/>
        </w:rPr>
        <w:t xml:space="preserve"> jako ústřední vodoprávní úřad (§ 108 vodního zákona)</w:t>
      </w:r>
    </w:p>
    <w:p w:rsidR="00531A17" w:rsidRPr="00382AD9" w:rsidRDefault="00531A17" w:rsidP="00EC69FC">
      <w:pPr>
        <w:pStyle w:val="Odstavecseseznamem"/>
        <w:numPr>
          <w:ilvl w:val="0"/>
          <w:numId w:val="8"/>
        </w:numPr>
        <w:spacing w:after="120" w:line="276" w:lineRule="auto"/>
        <w:ind w:left="993" w:hanging="720"/>
        <w:jc w:val="both"/>
        <w:rPr>
          <w:rFonts w:eastAsia="Calibri" w:cs="Arial"/>
        </w:rPr>
      </w:pPr>
      <w:r w:rsidRPr="00382AD9">
        <w:rPr>
          <w:rFonts w:eastAsia="Calibri" w:cs="Arial"/>
        </w:rPr>
        <w:t xml:space="preserve">veřejnost – žadatelé o rozhodnutí, závazné stanovisko vydané v rámci společného územního a stavebního řízení, kolaudační souhlas, stanovení ochranného pásma vodního díla, stanovení ochranného pásma </w:t>
      </w:r>
      <w:r w:rsidR="008C4850" w:rsidRPr="00382AD9">
        <w:rPr>
          <w:rFonts w:eastAsia="Calibri" w:cs="Arial"/>
        </w:rPr>
        <w:t>vodního zdroje nebo vyjádření k </w:t>
      </w:r>
      <w:r w:rsidRPr="00382AD9">
        <w:rPr>
          <w:rFonts w:eastAsia="Calibri" w:cs="Arial"/>
        </w:rPr>
        <w:t>ohlášení, jakož i náležitosti rozhodnutí, opatření obecné povahy, závazných stanovisek pro účely společného územního a stavebního řízení, souhlasů a</w:t>
      </w:r>
      <w:r w:rsidR="00C84BE3">
        <w:rPr>
          <w:rFonts w:eastAsia="Calibri" w:cs="Arial"/>
        </w:rPr>
        <w:t> </w:t>
      </w:r>
      <w:r w:rsidRPr="00382AD9">
        <w:rPr>
          <w:rFonts w:eastAsia="Calibri" w:cs="Arial"/>
        </w:rPr>
        <w:t>vyjádření</w:t>
      </w:r>
      <w:r w:rsidR="00197EA1">
        <w:rPr>
          <w:rFonts w:eastAsia="Calibri" w:cs="Arial"/>
        </w:rPr>
        <w:t>.</w:t>
      </w:r>
    </w:p>
    <w:p w:rsidR="00BF5D26" w:rsidRPr="00382AD9" w:rsidRDefault="00BF5D26" w:rsidP="00BF5D26">
      <w:pPr>
        <w:rPr>
          <w:rFonts w:cs="Arial"/>
        </w:rPr>
      </w:pPr>
    </w:p>
    <w:p w:rsidR="004A2155" w:rsidRPr="00382AD9" w:rsidRDefault="004A2155" w:rsidP="004A2155">
      <w:pPr>
        <w:rPr>
          <w:rFonts w:cs="Arial"/>
          <w:b/>
        </w:rPr>
      </w:pPr>
      <w:r w:rsidRPr="00382AD9">
        <w:rPr>
          <w:rFonts w:cs="Arial"/>
          <w:b/>
        </w:rPr>
        <w:t>1.5</w:t>
      </w:r>
      <w:r w:rsidRPr="00382AD9">
        <w:rPr>
          <w:rFonts w:cs="Arial"/>
          <w:b/>
        </w:rPr>
        <w:tab/>
        <w:t>Popis cílového stavu</w:t>
      </w:r>
    </w:p>
    <w:p w:rsidR="004A2155" w:rsidRPr="00382AD9" w:rsidRDefault="004A2155" w:rsidP="004A2155">
      <w:pPr>
        <w:rPr>
          <w:rFonts w:cs="Arial"/>
        </w:rPr>
      </w:pPr>
    </w:p>
    <w:p w:rsidR="007541B4" w:rsidRPr="003038B1" w:rsidRDefault="009C3AF0" w:rsidP="007541B4">
      <w:pPr>
        <w:spacing w:after="120" w:line="276" w:lineRule="auto"/>
        <w:ind w:firstLine="709"/>
        <w:jc w:val="both"/>
        <w:rPr>
          <w:rFonts w:eastAsia="Calibri" w:cs="Arial"/>
        </w:rPr>
      </w:pPr>
      <w:r w:rsidRPr="00382AD9">
        <w:rPr>
          <w:rFonts w:eastAsia="Calibri" w:cs="Arial"/>
          <w:bCs/>
        </w:rPr>
        <w:t>Návrh</w:t>
      </w:r>
      <w:r w:rsidR="00165501" w:rsidRPr="00382AD9">
        <w:rPr>
          <w:rFonts w:eastAsia="Calibri" w:cs="Arial"/>
          <w:bCs/>
        </w:rPr>
        <w:t xml:space="preserve"> vyhlášky </w:t>
      </w:r>
      <w:r w:rsidR="007541B4">
        <w:rPr>
          <w:rFonts w:eastAsia="Calibri" w:cs="Arial"/>
          <w:bCs/>
        </w:rPr>
        <w:t xml:space="preserve">doplňuje </w:t>
      </w:r>
      <w:r w:rsidR="00165501" w:rsidRPr="00382AD9">
        <w:rPr>
          <w:rFonts w:eastAsia="Calibri" w:cs="Arial"/>
          <w:bCs/>
        </w:rPr>
        <w:t>zákonn</w:t>
      </w:r>
      <w:r w:rsidR="007541B4">
        <w:rPr>
          <w:rFonts w:eastAsia="Calibri" w:cs="Arial"/>
          <w:bCs/>
        </w:rPr>
        <w:t>é</w:t>
      </w:r>
      <w:r w:rsidR="00165501" w:rsidRPr="00382AD9">
        <w:rPr>
          <w:rFonts w:eastAsia="Calibri" w:cs="Arial"/>
          <w:bCs/>
        </w:rPr>
        <w:t xml:space="preserve"> ustanovení § </w:t>
      </w:r>
      <w:r w:rsidR="005348AE" w:rsidRPr="00382AD9">
        <w:rPr>
          <w:rFonts w:eastAsia="Calibri" w:cs="Arial"/>
          <w:bCs/>
        </w:rPr>
        <w:t>115 odst. 2</w:t>
      </w:r>
      <w:r w:rsidR="007F5AC0" w:rsidRPr="00382AD9">
        <w:rPr>
          <w:rFonts w:eastAsia="Calibri" w:cs="Arial"/>
          <w:bCs/>
        </w:rPr>
        <w:t xml:space="preserve"> v</w:t>
      </w:r>
      <w:r w:rsidR="005348AE" w:rsidRPr="00382AD9">
        <w:rPr>
          <w:rFonts w:eastAsia="Calibri" w:cs="Arial"/>
          <w:bCs/>
        </w:rPr>
        <w:t>odního</w:t>
      </w:r>
      <w:r w:rsidR="007F5AC0" w:rsidRPr="00382AD9">
        <w:rPr>
          <w:rFonts w:eastAsia="Calibri" w:cs="Arial"/>
          <w:bCs/>
        </w:rPr>
        <w:t xml:space="preserve"> zákona</w:t>
      </w:r>
      <w:r w:rsidR="005348AE" w:rsidRPr="00382AD9">
        <w:rPr>
          <w:rFonts w:eastAsia="Calibri" w:cs="Arial"/>
          <w:bCs/>
        </w:rPr>
        <w:t xml:space="preserve">, ve znění zákona </w:t>
      </w:r>
      <w:r w:rsidR="005348AE" w:rsidRPr="00382AD9">
        <w:rPr>
          <w:rFonts w:eastAsia="Calibri" w:cs="Arial"/>
        </w:rPr>
        <w:t>č. 225/2017 Sb.</w:t>
      </w:r>
      <w:r w:rsidR="00165501" w:rsidRPr="00382AD9">
        <w:rPr>
          <w:rFonts w:eastAsia="Calibri" w:cs="Arial"/>
          <w:bCs/>
        </w:rPr>
        <w:t xml:space="preserve">, </w:t>
      </w:r>
      <w:r w:rsidRPr="00382AD9">
        <w:rPr>
          <w:rFonts w:eastAsia="Calibri" w:cs="Arial"/>
          <w:bCs/>
        </w:rPr>
        <w:t>k</w:t>
      </w:r>
      <w:r w:rsidR="007541B4">
        <w:rPr>
          <w:rFonts w:eastAsia="Calibri" w:cs="Arial"/>
          <w:bCs/>
        </w:rPr>
        <w:t>terý</w:t>
      </w:r>
      <w:r w:rsidRPr="00382AD9">
        <w:rPr>
          <w:rFonts w:eastAsia="Calibri" w:cs="Arial"/>
          <w:bCs/>
        </w:rPr>
        <w:t xml:space="preserve"> </w:t>
      </w:r>
      <w:r w:rsidR="005348AE" w:rsidRPr="00382AD9">
        <w:rPr>
          <w:rFonts w:eastAsia="Calibri" w:cs="Arial"/>
        </w:rPr>
        <w:t>stanovuje žadatelům rozsah žádosti o rozhodnutí, závazné stanovisko vydané v rámci společného územního a stavebního řízení, kolaudační souhlas, stanovení ochranného pásma vodního díla, stanovení ochranného pásma vodního zdroje nebo vyjádření k ohlášení, jakož i náležitosti rozhodnutí, opatření obecné povahy, závazných stanovisek pro účely společného územního a stavební</w:t>
      </w:r>
      <w:r w:rsidR="007541B4">
        <w:rPr>
          <w:rFonts w:eastAsia="Calibri" w:cs="Arial"/>
        </w:rPr>
        <w:t>ho řízení, souhlasů a vyjádření, o</w:t>
      </w:r>
      <w:r w:rsidR="00C84BE3">
        <w:rPr>
          <w:rFonts w:eastAsia="Calibri" w:cs="Arial"/>
        </w:rPr>
        <w:t> </w:t>
      </w:r>
      <w:r w:rsidR="007541B4">
        <w:rPr>
          <w:rFonts w:eastAsia="Calibri" w:cs="Arial"/>
        </w:rPr>
        <w:t xml:space="preserve">novou variantu záměru do stávajícího formuláře v příloze č. 11, neboť od </w:t>
      </w:r>
      <w:r w:rsidR="007541B4" w:rsidRPr="003038B1">
        <w:rPr>
          <w:rFonts w:eastAsia="Calibri" w:cs="Arial"/>
        </w:rPr>
        <w:t>1. 1. 2019</w:t>
      </w:r>
      <w:r w:rsidR="007541B4">
        <w:rPr>
          <w:rFonts w:eastAsia="Calibri" w:cs="Arial"/>
        </w:rPr>
        <w:t xml:space="preserve"> je</w:t>
      </w:r>
      <w:r w:rsidR="007541B4" w:rsidRPr="003038B1">
        <w:rPr>
          <w:rFonts w:eastAsia="Calibri" w:cs="Arial"/>
        </w:rPr>
        <w:t xml:space="preserve"> třeba souhlas vodoprávního </w:t>
      </w:r>
      <w:r w:rsidR="007541B4">
        <w:rPr>
          <w:rFonts w:eastAsia="Calibri" w:cs="Arial"/>
        </w:rPr>
        <w:t xml:space="preserve">úřadu ve smyslu § 17 odst. 1 </w:t>
      </w:r>
      <w:r w:rsidR="007541B4" w:rsidRPr="003038B1">
        <w:rPr>
          <w:rFonts w:eastAsia="Calibri" w:cs="Arial"/>
        </w:rPr>
        <w:t>písm</w:t>
      </w:r>
      <w:r w:rsidR="007541B4">
        <w:rPr>
          <w:rFonts w:eastAsia="Calibri" w:cs="Arial"/>
        </w:rPr>
        <w:t>.</w:t>
      </w:r>
      <w:r w:rsidR="007541B4" w:rsidRPr="003038B1">
        <w:rPr>
          <w:rFonts w:eastAsia="Calibri" w:cs="Arial"/>
        </w:rPr>
        <w:t xml:space="preserve"> i)</w:t>
      </w:r>
      <w:r w:rsidR="007541B4">
        <w:rPr>
          <w:rFonts w:eastAsia="Calibri" w:cs="Arial"/>
        </w:rPr>
        <w:t xml:space="preserve"> vodního zákona</w:t>
      </w:r>
      <w:r w:rsidR="007541B4" w:rsidRPr="003038B1">
        <w:rPr>
          <w:rFonts w:eastAsia="Calibri" w:cs="Arial"/>
        </w:rPr>
        <w:t xml:space="preserve">, podle kterého je třeba souhlasu vodoprávního úřadu ke geologickým pracím spojeným se zásahem do pozemku, jejichž cílem je následné využití průzkumného díla na stavbu k jímání podzemní vody nebo pro vrty pro využívání energetického potenciálu podzemních vod. </w:t>
      </w:r>
    </w:p>
    <w:p w:rsidR="00BF5D26" w:rsidRPr="00382AD9" w:rsidRDefault="00BF5D26" w:rsidP="004A2155">
      <w:pPr>
        <w:rPr>
          <w:rFonts w:cs="Arial"/>
        </w:rPr>
      </w:pPr>
    </w:p>
    <w:p w:rsidR="004A2155" w:rsidRPr="00382AD9" w:rsidRDefault="004A2155" w:rsidP="004A2155">
      <w:pPr>
        <w:rPr>
          <w:rFonts w:cs="Arial"/>
          <w:b/>
        </w:rPr>
      </w:pPr>
      <w:r w:rsidRPr="00382AD9">
        <w:rPr>
          <w:rFonts w:cs="Arial"/>
          <w:b/>
        </w:rPr>
        <w:t>1.6</w:t>
      </w:r>
      <w:r w:rsidRPr="00382AD9">
        <w:rPr>
          <w:rFonts w:cs="Arial"/>
          <w:b/>
        </w:rPr>
        <w:tab/>
        <w:t>Zhodnocení rizika</w:t>
      </w:r>
    </w:p>
    <w:p w:rsidR="004A2155" w:rsidRPr="00382AD9" w:rsidRDefault="004A2155" w:rsidP="004A2155">
      <w:pPr>
        <w:rPr>
          <w:rFonts w:cs="Arial"/>
        </w:rPr>
      </w:pPr>
    </w:p>
    <w:p w:rsidR="00181996" w:rsidRPr="00382AD9" w:rsidRDefault="008C4F33" w:rsidP="00EC69FC">
      <w:pPr>
        <w:spacing w:after="120" w:line="276" w:lineRule="auto"/>
        <w:ind w:firstLine="709"/>
        <w:jc w:val="both"/>
        <w:rPr>
          <w:rFonts w:eastAsia="Calibri" w:cs="Arial"/>
        </w:rPr>
      </w:pPr>
      <w:r w:rsidRPr="00382AD9">
        <w:rPr>
          <w:rFonts w:eastAsia="Calibri" w:cs="Arial"/>
        </w:rPr>
        <w:t xml:space="preserve">V případě zachování současného stavu nebude možné </w:t>
      </w:r>
      <w:r w:rsidR="00181996">
        <w:rPr>
          <w:rFonts w:eastAsia="Calibri" w:cs="Arial"/>
        </w:rPr>
        <w:t xml:space="preserve">jednotně </w:t>
      </w:r>
      <w:r w:rsidRPr="00382AD9">
        <w:rPr>
          <w:rFonts w:eastAsia="Calibri" w:cs="Arial"/>
        </w:rPr>
        <w:t>stanovit</w:t>
      </w:r>
      <w:r w:rsidR="00181996">
        <w:rPr>
          <w:rFonts w:eastAsia="Calibri" w:cs="Arial"/>
        </w:rPr>
        <w:t xml:space="preserve"> podklady, které budou žadatelé předkládat vodoprávním úřadům k žádostem o </w:t>
      </w:r>
      <w:r w:rsidR="00181996" w:rsidRPr="00181996">
        <w:rPr>
          <w:rFonts w:eastAsia="Calibri" w:cs="Arial"/>
        </w:rPr>
        <w:t>souhlas vodoprávního úřadu ve smyslu § 17 odst. 1 písm. i) vodního zákona, podle kterého je třeba souhlasu vodoprávního úřadu ke geologickým pracím spojeným se zásahem do pozemku, jejichž cílem je následné využití průzkumného díla na stavbu k jímání podzemní vody nebo pro vrty pro využívání energetického potenciálu podzemních vod</w:t>
      </w:r>
      <w:r w:rsidR="00446884">
        <w:rPr>
          <w:rFonts w:eastAsia="Calibri" w:cs="Arial"/>
        </w:rPr>
        <w:t>, což může mít negativní vliv na předvídatelnost postupů vodoprávních úřadů ze strany veřejnosti.</w:t>
      </w:r>
    </w:p>
    <w:p w:rsidR="00C12A7A" w:rsidRDefault="00C12A7A" w:rsidP="00181996">
      <w:pPr>
        <w:spacing w:before="240" w:after="60"/>
        <w:jc w:val="both"/>
        <w:rPr>
          <w:rFonts w:cs="Arial"/>
          <w:b/>
          <w:spacing w:val="-3"/>
        </w:rPr>
      </w:pPr>
    </w:p>
    <w:p w:rsidR="00181996" w:rsidRDefault="00181996" w:rsidP="00181996">
      <w:pPr>
        <w:spacing w:before="240" w:after="60"/>
        <w:jc w:val="both"/>
        <w:rPr>
          <w:rFonts w:cs="Arial"/>
          <w:b/>
          <w:spacing w:val="-3"/>
        </w:rPr>
      </w:pPr>
      <w:r>
        <w:rPr>
          <w:rFonts w:cs="Arial"/>
          <w:b/>
          <w:spacing w:val="-3"/>
        </w:rPr>
        <w:lastRenderedPageBreak/>
        <w:t>1.7. Zhodnocení korupčních rizik</w:t>
      </w:r>
    </w:p>
    <w:p w:rsidR="00181996" w:rsidRPr="000F3692" w:rsidRDefault="00181996" w:rsidP="00181996">
      <w:pPr>
        <w:spacing w:before="240" w:after="60"/>
        <w:jc w:val="both"/>
        <w:rPr>
          <w:rFonts w:cs="Arial"/>
          <w:spacing w:val="-3"/>
        </w:rPr>
      </w:pPr>
      <w:r>
        <w:rPr>
          <w:rFonts w:cs="Arial"/>
          <w:spacing w:val="-3"/>
        </w:rPr>
        <w:t>U navrhovaného nového znění nejsou žádná korupční rizika identifikována.</w:t>
      </w:r>
    </w:p>
    <w:p w:rsidR="00BF5D26" w:rsidRPr="00382AD9" w:rsidRDefault="00BF5D26" w:rsidP="004A2155">
      <w:pPr>
        <w:rPr>
          <w:rFonts w:cs="Arial"/>
        </w:rPr>
      </w:pPr>
    </w:p>
    <w:p w:rsidR="00446884" w:rsidRDefault="00446884" w:rsidP="004A2155">
      <w:pPr>
        <w:rPr>
          <w:rFonts w:cs="Arial"/>
        </w:rPr>
      </w:pPr>
    </w:p>
    <w:p w:rsidR="004A2155" w:rsidRPr="00DE2591" w:rsidRDefault="004A2155" w:rsidP="00DE2591">
      <w:pPr>
        <w:spacing w:before="60" w:after="60"/>
        <w:jc w:val="both"/>
        <w:rPr>
          <w:rFonts w:cs="Arial"/>
          <w:b/>
          <w:spacing w:val="-3"/>
          <w:sz w:val="24"/>
          <w:szCs w:val="24"/>
        </w:rPr>
      </w:pPr>
      <w:r w:rsidRPr="00DE2591">
        <w:rPr>
          <w:rFonts w:cs="Arial"/>
          <w:b/>
          <w:spacing w:val="-3"/>
          <w:sz w:val="24"/>
          <w:szCs w:val="24"/>
        </w:rPr>
        <w:t>2.</w:t>
      </w:r>
      <w:r w:rsidRPr="00DE2591">
        <w:rPr>
          <w:rFonts w:cs="Arial"/>
          <w:b/>
          <w:spacing w:val="-3"/>
          <w:sz w:val="24"/>
          <w:szCs w:val="24"/>
        </w:rPr>
        <w:tab/>
        <w:t>Návrh variant řešení</w:t>
      </w:r>
    </w:p>
    <w:p w:rsidR="004A2155" w:rsidRDefault="004A2155" w:rsidP="00DE2591">
      <w:pPr>
        <w:ind w:firstLine="708"/>
        <w:rPr>
          <w:rFonts w:cs="Arial"/>
        </w:rPr>
      </w:pPr>
    </w:p>
    <w:p w:rsidR="00DE2591" w:rsidRPr="006F6754" w:rsidRDefault="00DE2591" w:rsidP="00DE2591">
      <w:pPr>
        <w:spacing w:before="60" w:after="60"/>
        <w:jc w:val="both"/>
        <w:rPr>
          <w:rFonts w:cs="Arial"/>
          <w:b/>
          <w:spacing w:val="-3"/>
          <w:sz w:val="24"/>
          <w:szCs w:val="24"/>
        </w:rPr>
      </w:pPr>
      <w:r w:rsidRPr="006F6754">
        <w:rPr>
          <w:rFonts w:cs="Arial"/>
          <w:b/>
          <w:spacing w:val="-3"/>
          <w:sz w:val="24"/>
          <w:szCs w:val="24"/>
        </w:rPr>
        <w:t>2.1 Varianty regulatorně – technického řešení</w:t>
      </w:r>
    </w:p>
    <w:p w:rsidR="00DE2591" w:rsidRPr="00CD0F37" w:rsidRDefault="00DE2591" w:rsidP="00CD0F37">
      <w:pPr>
        <w:spacing w:before="240" w:after="60"/>
        <w:ind w:firstLine="708"/>
        <w:jc w:val="both"/>
        <w:rPr>
          <w:rFonts w:eastAsia="Calibri" w:cs="Arial"/>
        </w:rPr>
      </w:pPr>
      <w:r w:rsidRPr="00CD0F37">
        <w:rPr>
          <w:rFonts w:eastAsia="Calibri" w:cs="Arial"/>
        </w:rPr>
        <w:t>Při zvažování různých variant identifikovaného problému z obecného (regulatorně-technického) hlediska, které by mohly vést ke stanovenému cíli, bylo zvažováno pouze předkládané řešení v podobě návrhu novely vyhlášky. Důvodem je skutečnost, že náležitosti žádosti o souhlas dle</w:t>
      </w:r>
      <w:r w:rsidR="00CD0F37">
        <w:rPr>
          <w:rFonts w:eastAsia="Calibri" w:cs="Arial"/>
        </w:rPr>
        <w:t xml:space="preserve"> </w:t>
      </w:r>
      <w:r w:rsidRPr="00181996">
        <w:rPr>
          <w:rFonts w:eastAsia="Calibri" w:cs="Arial"/>
        </w:rPr>
        <w:t>§ 17 o</w:t>
      </w:r>
      <w:r>
        <w:rPr>
          <w:rFonts w:eastAsia="Calibri" w:cs="Arial"/>
        </w:rPr>
        <w:t xml:space="preserve">dst. 1 písm. i) vodního zákona - </w:t>
      </w:r>
      <w:r w:rsidRPr="00181996">
        <w:rPr>
          <w:rFonts w:eastAsia="Calibri" w:cs="Arial"/>
        </w:rPr>
        <w:t>ke geologickým pracím spojeným se zásahem do pozemku, jejichž cílem je následné využití průzkumného díla na stavbu k jímání podzemní vody nebo pro vrty pro využívání energetického potenciálu podzemních vod</w:t>
      </w:r>
      <w:r>
        <w:rPr>
          <w:rFonts w:eastAsia="Calibri" w:cs="Arial"/>
        </w:rPr>
        <w:t>,</w:t>
      </w:r>
      <w:r w:rsidRPr="00CD0F37">
        <w:rPr>
          <w:rFonts w:eastAsia="Calibri" w:cs="Arial"/>
        </w:rPr>
        <w:t xml:space="preserve"> je možné řešit pouze formou změny vyhlášky.</w:t>
      </w:r>
    </w:p>
    <w:p w:rsidR="00DE2591" w:rsidRPr="00CD0F37" w:rsidRDefault="00DE2591" w:rsidP="00CD0F37">
      <w:pPr>
        <w:spacing w:before="120" w:after="60"/>
        <w:ind w:firstLine="708"/>
        <w:jc w:val="both"/>
        <w:rPr>
          <w:rFonts w:eastAsia="Calibri" w:cs="Arial"/>
        </w:rPr>
      </w:pPr>
      <w:r w:rsidRPr="00CD0F37">
        <w:rPr>
          <w:rFonts w:eastAsia="Calibri" w:cs="Arial"/>
        </w:rPr>
        <w:t>Z tohoto důvodu nelze použít jiné regulatorně technické varianty řešení včetně nulové varianty, neboť taková řešení nesplňují výše uvedené požadavky.</w:t>
      </w:r>
    </w:p>
    <w:p w:rsidR="00DE2591" w:rsidRDefault="00DE2591" w:rsidP="00DE2591">
      <w:pPr>
        <w:ind w:firstLine="708"/>
        <w:rPr>
          <w:rFonts w:cs="Arial"/>
        </w:rPr>
      </w:pPr>
    </w:p>
    <w:p w:rsidR="003934FF" w:rsidRPr="006F6754" w:rsidRDefault="003934FF" w:rsidP="003934FF">
      <w:pPr>
        <w:spacing w:before="120" w:after="60"/>
        <w:jc w:val="both"/>
        <w:rPr>
          <w:rFonts w:cs="Arial"/>
          <w:b/>
          <w:spacing w:val="-3"/>
          <w:sz w:val="24"/>
          <w:szCs w:val="24"/>
        </w:rPr>
      </w:pPr>
      <w:r w:rsidRPr="006F6754">
        <w:rPr>
          <w:rFonts w:cs="Arial"/>
          <w:b/>
          <w:spacing w:val="-3"/>
          <w:sz w:val="24"/>
          <w:szCs w:val="24"/>
        </w:rPr>
        <w:t>2.2. Varianty věcného řešení</w:t>
      </w:r>
    </w:p>
    <w:p w:rsidR="003934FF" w:rsidRPr="006F6754" w:rsidRDefault="003934FF" w:rsidP="003934FF">
      <w:pPr>
        <w:spacing w:before="360" w:after="60"/>
        <w:jc w:val="both"/>
        <w:rPr>
          <w:rFonts w:cs="Arial"/>
          <w:b/>
          <w:i/>
          <w:spacing w:val="-3"/>
          <w:sz w:val="24"/>
          <w:szCs w:val="24"/>
          <w:u w:val="single"/>
        </w:rPr>
      </w:pPr>
      <w:r w:rsidRPr="006F6754">
        <w:rPr>
          <w:rFonts w:cs="Arial"/>
          <w:b/>
          <w:i/>
          <w:spacing w:val="-3"/>
          <w:sz w:val="24"/>
          <w:szCs w:val="24"/>
          <w:u w:val="single"/>
        </w:rPr>
        <w:t>Varianta 1 – nulová</w:t>
      </w:r>
    </w:p>
    <w:p w:rsidR="00CD0F37" w:rsidRDefault="00CD0F37" w:rsidP="00CD0F37">
      <w:pPr>
        <w:ind w:firstLine="708"/>
        <w:jc w:val="both"/>
        <w:rPr>
          <w:rFonts w:eastAsia="Calibri" w:cs="Arial"/>
        </w:rPr>
      </w:pPr>
    </w:p>
    <w:p w:rsidR="003934FF" w:rsidRPr="00CD0F37" w:rsidRDefault="003934FF" w:rsidP="00CD0F37">
      <w:pPr>
        <w:ind w:firstLine="708"/>
        <w:jc w:val="both"/>
        <w:rPr>
          <w:rFonts w:eastAsia="Calibri" w:cs="Arial"/>
        </w:rPr>
      </w:pPr>
      <w:r w:rsidRPr="00CD0F37">
        <w:rPr>
          <w:rFonts w:eastAsia="Calibri" w:cs="Arial"/>
        </w:rPr>
        <w:t>Neprovedení novelizace vyhlášky by fakticky znamenalo rezignovat n</w:t>
      </w:r>
      <w:r w:rsidR="00646888" w:rsidRPr="00CD0F37">
        <w:rPr>
          <w:rFonts w:eastAsia="Calibri" w:cs="Arial"/>
        </w:rPr>
        <w:t>a</w:t>
      </w:r>
      <w:r w:rsidRPr="00CD0F37">
        <w:rPr>
          <w:rFonts w:eastAsia="Calibri" w:cs="Arial"/>
        </w:rPr>
        <w:t xml:space="preserve"> předvídatelnost postupů jednotlivých vodoprávních úřadů při vyřizování žádostí o souhlas dle </w:t>
      </w:r>
      <w:r w:rsidRPr="00181996">
        <w:rPr>
          <w:rFonts w:eastAsia="Calibri" w:cs="Arial"/>
        </w:rPr>
        <w:t>§ 17 o</w:t>
      </w:r>
      <w:r>
        <w:rPr>
          <w:rFonts w:eastAsia="Calibri" w:cs="Arial"/>
        </w:rPr>
        <w:t xml:space="preserve">dst. 1 písm. i) vodního zákona - </w:t>
      </w:r>
      <w:r w:rsidRPr="00181996">
        <w:rPr>
          <w:rFonts w:eastAsia="Calibri" w:cs="Arial"/>
        </w:rPr>
        <w:t>ke geologickým pracím spojeným se zásahem do pozemku, jejichž cílem je následné využití průzkumného díla na stavbu k jímání podzemní vody nebo pro vrty pro využívání energetického potenciálu podzemních vod</w:t>
      </w:r>
      <w:r w:rsidR="00CD0F37">
        <w:rPr>
          <w:rFonts w:eastAsia="Calibri" w:cs="Arial"/>
        </w:rPr>
        <w:t>.</w:t>
      </w:r>
    </w:p>
    <w:p w:rsidR="003934FF" w:rsidRPr="006F6754" w:rsidRDefault="003934FF" w:rsidP="003934FF">
      <w:pPr>
        <w:spacing w:before="360" w:after="60"/>
        <w:jc w:val="both"/>
        <w:rPr>
          <w:rFonts w:cs="Arial"/>
          <w:b/>
          <w:i/>
          <w:spacing w:val="-3"/>
          <w:sz w:val="24"/>
          <w:szCs w:val="24"/>
          <w:u w:val="single"/>
        </w:rPr>
      </w:pPr>
      <w:r w:rsidRPr="006F6754">
        <w:rPr>
          <w:rFonts w:cs="Arial"/>
          <w:b/>
          <w:i/>
          <w:spacing w:val="-3"/>
          <w:sz w:val="24"/>
          <w:szCs w:val="24"/>
          <w:u w:val="single"/>
        </w:rPr>
        <w:t>Varianta 2 – příprava návrhu vyhlášky</w:t>
      </w:r>
    </w:p>
    <w:p w:rsidR="00CD0F37" w:rsidRDefault="00CD0F37" w:rsidP="00B03E7C">
      <w:pPr>
        <w:jc w:val="both"/>
        <w:rPr>
          <w:rFonts w:eastAsia="Calibri" w:cs="Arial"/>
        </w:rPr>
      </w:pPr>
    </w:p>
    <w:p w:rsidR="00DE2591" w:rsidRPr="00CD0F37" w:rsidRDefault="00B03E7C" w:rsidP="00CD0F37">
      <w:pPr>
        <w:ind w:firstLine="708"/>
        <w:jc w:val="both"/>
        <w:rPr>
          <w:rFonts w:eastAsia="Calibri" w:cs="Arial"/>
        </w:rPr>
      </w:pPr>
      <w:r w:rsidRPr="00CD0F37">
        <w:rPr>
          <w:rFonts w:eastAsia="Calibri" w:cs="Arial"/>
        </w:rPr>
        <w:t xml:space="preserve">Příprava návrhu vyhlášky je </w:t>
      </w:r>
      <w:r w:rsidR="003934FF" w:rsidRPr="00CD0F37">
        <w:rPr>
          <w:rFonts w:eastAsia="Calibri" w:cs="Arial"/>
        </w:rPr>
        <w:t>rea</w:t>
      </w:r>
      <w:r w:rsidRPr="00CD0F37">
        <w:rPr>
          <w:rFonts w:eastAsia="Calibri" w:cs="Arial"/>
        </w:rPr>
        <w:t>kcí</w:t>
      </w:r>
      <w:r w:rsidR="003934FF" w:rsidRPr="00CD0F37">
        <w:rPr>
          <w:rFonts w:eastAsia="Calibri" w:cs="Arial"/>
        </w:rPr>
        <w:t xml:space="preserve"> na novelu vodního zákona (zákon č. 113/2018 Sb.), která vstoupila v platnost dne 15. 6. 2018 a v účinnost vstoupila dne 1. 1. 2019. Novela vodního zákona rozšiřuje počet případů, pro které je od 1. 1. 2019 třeba souhlas vodoprávního úřadu tím, že do § 17 odst. 1 vodního zákona bylo vloženo nové písmeno i), podle kterého je třeba souhlasu vodoprávního úřadu ke geologickým pracím spojeným se zásahem do pozemku, jejichž cílem je následné využití průzkumného díla na stavbu k jímání podzemní vody nebo pro vrty pro využívání energetického potenciálu podzemních vod.</w:t>
      </w:r>
    </w:p>
    <w:p w:rsidR="00BF5D26" w:rsidRPr="00CD0F37" w:rsidRDefault="00BF5D26" w:rsidP="00BF5D26">
      <w:pPr>
        <w:jc w:val="both"/>
        <w:rPr>
          <w:rFonts w:eastAsia="Calibri" w:cs="Arial"/>
        </w:rPr>
      </w:pPr>
    </w:p>
    <w:p w:rsidR="005F255A" w:rsidRPr="00382AD9" w:rsidRDefault="005F255A" w:rsidP="004A2155">
      <w:pPr>
        <w:rPr>
          <w:rFonts w:cs="Arial"/>
          <w:b/>
          <w:u w:val="single"/>
        </w:rPr>
      </w:pPr>
    </w:p>
    <w:p w:rsidR="004A2155" w:rsidRPr="00382AD9" w:rsidRDefault="004A2155" w:rsidP="004A2155">
      <w:pPr>
        <w:rPr>
          <w:rFonts w:cs="Arial"/>
          <w:b/>
        </w:rPr>
      </w:pPr>
      <w:r w:rsidRPr="00382AD9">
        <w:rPr>
          <w:rFonts w:cs="Arial"/>
          <w:b/>
        </w:rPr>
        <w:t>3.</w:t>
      </w:r>
      <w:r w:rsidRPr="00382AD9">
        <w:rPr>
          <w:rFonts w:cs="Arial"/>
          <w:b/>
        </w:rPr>
        <w:tab/>
        <w:t>Vyhodnocení nákladů a přínosů</w:t>
      </w:r>
      <w:r w:rsidR="000D4053" w:rsidRPr="00382AD9">
        <w:rPr>
          <w:rFonts w:cs="Arial"/>
          <w:b/>
        </w:rPr>
        <w:t xml:space="preserve"> </w:t>
      </w:r>
    </w:p>
    <w:p w:rsidR="004A2155" w:rsidRPr="00382AD9" w:rsidRDefault="004A2155" w:rsidP="004A2155">
      <w:pPr>
        <w:rPr>
          <w:rFonts w:cs="Arial"/>
        </w:rPr>
      </w:pPr>
    </w:p>
    <w:p w:rsidR="004A2155" w:rsidRPr="00382AD9" w:rsidRDefault="004A2155" w:rsidP="004A2155">
      <w:pPr>
        <w:rPr>
          <w:rFonts w:cs="Arial"/>
          <w:b/>
        </w:rPr>
      </w:pPr>
      <w:r w:rsidRPr="00382AD9">
        <w:rPr>
          <w:rFonts w:cs="Arial"/>
          <w:b/>
        </w:rPr>
        <w:t>3.1</w:t>
      </w:r>
      <w:r w:rsidRPr="00382AD9">
        <w:rPr>
          <w:rFonts w:cs="Arial"/>
          <w:b/>
        </w:rPr>
        <w:tab/>
        <w:t>Identifikace nákladů a přínosů</w:t>
      </w:r>
    </w:p>
    <w:p w:rsidR="00574F18" w:rsidRPr="00382AD9" w:rsidRDefault="00574F18" w:rsidP="00574F18">
      <w:pPr>
        <w:jc w:val="both"/>
        <w:rPr>
          <w:rFonts w:cs="Arial"/>
        </w:rPr>
      </w:pPr>
    </w:p>
    <w:p w:rsidR="00574F18" w:rsidRPr="00382AD9" w:rsidRDefault="00574F18" w:rsidP="00EC69FC">
      <w:pPr>
        <w:spacing w:after="120" w:line="276" w:lineRule="auto"/>
        <w:ind w:firstLine="709"/>
        <w:jc w:val="both"/>
        <w:rPr>
          <w:rFonts w:eastAsia="Calibri" w:cs="Arial"/>
        </w:rPr>
      </w:pPr>
      <w:r w:rsidRPr="00382AD9">
        <w:rPr>
          <w:rFonts w:eastAsia="Calibri" w:cs="Arial"/>
        </w:rPr>
        <w:t xml:space="preserve">Návrh </w:t>
      </w:r>
      <w:r w:rsidR="00393130" w:rsidRPr="00382AD9">
        <w:rPr>
          <w:rFonts w:eastAsia="Calibri" w:cs="Arial"/>
        </w:rPr>
        <w:t>vyhlášky</w:t>
      </w:r>
      <w:r w:rsidRPr="00382AD9">
        <w:rPr>
          <w:rFonts w:eastAsia="Calibri" w:cs="Arial"/>
        </w:rPr>
        <w:t xml:space="preserve"> nebude mít hospodářské a finanční dopady na státní rozpočet a</w:t>
      </w:r>
      <w:r w:rsidR="00AF02E7">
        <w:rPr>
          <w:rFonts w:eastAsia="Calibri" w:cs="Arial"/>
        </w:rPr>
        <w:t> </w:t>
      </w:r>
      <w:r w:rsidRPr="00382AD9">
        <w:rPr>
          <w:rFonts w:eastAsia="Calibri" w:cs="Arial"/>
        </w:rPr>
        <w:t xml:space="preserve">ostatní veřejné rozpočty. </w:t>
      </w:r>
    </w:p>
    <w:p w:rsidR="00574F18" w:rsidRPr="00382AD9" w:rsidRDefault="00574F18" w:rsidP="00CD0F37">
      <w:pPr>
        <w:keepNext/>
        <w:jc w:val="both"/>
        <w:rPr>
          <w:rFonts w:cs="Arial"/>
        </w:rPr>
      </w:pPr>
    </w:p>
    <w:p w:rsidR="004A2155" w:rsidRPr="00382AD9" w:rsidRDefault="004A2155" w:rsidP="00CD0F37">
      <w:pPr>
        <w:keepNext/>
        <w:rPr>
          <w:rFonts w:cs="Arial"/>
          <w:b/>
        </w:rPr>
      </w:pPr>
      <w:r w:rsidRPr="00382AD9">
        <w:rPr>
          <w:rFonts w:cs="Arial"/>
          <w:b/>
        </w:rPr>
        <w:t>3.2</w:t>
      </w:r>
      <w:r w:rsidRPr="00382AD9">
        <w:rPr>
          <w:rFonts w:cs="Arial"/>
          <w:b/>
        </w:rPr>
        <w:tab/>
        <w:t>Náklady</w:t>
      </w:r>
    </w:p>
    <w:p w:rsidR="004A2155" w:rsidRPr="00382AD9" w:rsidRDefault="004A2155" w:rsidP="00CD0F37">
      <w:pPr>
        <w:keepNext/>
        <w:rPr>
          <w:rFonts w:cs="Arial"/>
        </w:rPr>
      </w:pPr>
    </w:p>
    <w:p w:rsidR="00181543" w:rsidRPr="00382AD9" w:rsidRDefault="00082DBF" w:rsidP="00CD0F37">
      <w:pPr>
        <w:keepNext/>
        <w:ind w:firstLine="708"/>
        <w:jc w:val="both"/>
        <w:rPr>
          <w:rFonts w:eastAsia="Calibri" w:cs="Arial"/>
        </w:rPr>
      </w:pPr>
      <w:r w:rsidRPr="00382AD9">
        <w:rPr>
          <w:rFonts w:eastAsia="Calibri" w:cs="Arial"/>
        </w:rPr>
        <w:t>Navrhovaná právní úprava nepředpokládá negativní hospodářský a finanční dopad na podnikatelské prostředí. Nepředpokládají se ani jiné negativní dopady, tj. na státní rozpočet ani na ostatní veřejné rozpočty. Návrh též nemá negativní sociální dopady a</w:t>
      </w:r>
      <w:r w:rsidR="00AF02E7">
        <w:rPr>
          <w:rFonts w:eastAsia="Calibri" w:cs="Arial"/>
        </w:rPr>
        <w:t> </w:t>
      </w:r>
      <w:r w:rsidRPr="00382AD9">
        <w:rPr>
          <w:rFonts w:eastAsia="Calibri" w:cs="Arial"/>
        </w:rPr>
        <w:t>negativní dopady na životní prostředí se nepředpokládají.</w:t>
      </w:r>
    </w:p>
    <w:p w:rsidR="00082DBF" w:rsidRDefault="00082DBF" w:rsidP="00082DBF">
      <w:pPr>
        <w:ind w:firstLine="708"/>
        <w:jc w:val="both"/>
        <w:rPr>
          <w:rFonts w:eastAsia="Calibri" w:cs="Arial"/>
        </w:rPr>
      </w:pPr>
    </w:p>
    <w:p w:rsidR="004A2155" w:rsidRPr="00382AD9" w:rsidRDefault="004A2155" w:rsidP="004A2155">
      <w:pPr>
        <w:rPr>
          <w:rFonts w:cs="Arial"/>
          <w:b/>
        </w:rPr>
      </w:pPr>
      <w:r w:rsidRPr="00382AD9">
        <w:rPr>
          <w:rFonts w:cs="Arial"/>
          <w:b/>
        </w:rPr>
        <w:t>3.3</w:t>
      </w:r>
      <w:r w:rsidRPr="00382AD9">
        <w:rPr>
          <w:rFonts w:cs="Arial"/>
          <w:b/>
        </w:rPr>
        <w:tab/>
      </w:r>
      <w:r w:rsidRPr="00B03E7C">
        <w:rPr>
          <w:rFonts w:cs="Arial"/>
          <w:b/>
          <w:sz w:val="24"/>
        </w:rPr>
        <w:t>Přínosy</w:t>
      </w:r>
    </w:p>
    <w:p w:rsidR="004A2155" w:rsidRPr="00382AD9" w:rsidRDefault="004A2155" w:rsidP="004A2155">
      <w:pPr>
        <w:rPr>
          <w:rFonts w:cs="Arial"/>
        </w:rPr>
      </w:pPr>
    </w:p>
    <w:p w:rsidR="00574F18" w:rsidRPr="00382AD9" w:rsidRDefault="00B262B5" w:rsidP="00EC69FC">
      <w:pPr>
        <w:spacing w:after="120" w:line="276" w:lineRule="auto"/>
        <w:ind w:firstLine="709"/>
        <w:jc w:val="both"/>
        <w:rPr>
          <w:rFonts w:eastAsia="Calibri" w:cs="Arial"/>
        </w:rPr>
      </w:pPr>
      <w:r w:rsidRPr="00382AD9">
        <w:rPr>
          <w:rFonts w:eastAsia="Calibri" w:cs="Arial"/>
        </w:rPr>
        <w:t xml:space="preserve">Nepopiratelným přínosem je </w:t>
      </w:r>
      <w:r w:rsidR="00BA222C" w:rsidRPr="00382AD9">
        <w:rPr>
          <w:rFonts w:eastAsia="Calibri" w:cs="Arial"/>
        </w:rPr>
        <w:t xml:space="preserve">snížení nároků na žadatele, </w:t>
      </w:r>
      <w:r w:rsidR="008C4850" w:rsidRPr="00382AD9">
        <w:rPr>
          <w:rFonts w:eastAsia="Calibri" w:cs="Arial"/>
        </w:rPr>
        <w:t>kteří mají při podání žádosti k </w:t>
      </w:r>
      <w:r w:rsidR="00BA222C" w:rsidRPr="00382AD9">
        <w:rPr>
          <w:rFonts w:eastAsia="Calibri" w:cs="Arial"/>
        </w:rPr>
        <w:t xml:space="preserve">dispozici aktuální formulář a nemusí změny v jednotlivých právních předpisech sledovat. </w:t>
      </w:r>
      <w:r w:rsidRPr="00382AD9">
        <w:rPr>
          <w:rFonts w:eastAsia="Calibri" w:cs="Arial"/>
        </w:rPr>
        <w:br/>
      </w:r>
      <w:r w:rsidR="00B03E7C">
        <w:rPr>
          <w:rFonts w:eastAsia="Calibri" w:cs="Arial"/>
        </w:rPr>
        <w:t>Dochá</w:t>
      </w:r>
      <w:r w:rsidR="00BA222C" w:rsidRPr="00382AD9">
        <w:rPr>
          <w:rFonts w:eastAsia="Calibri" w:cs="Arial"/>
        </w:rPr>
        <w:t>zí k dalšímu snížení nároků na žadatele, kteří se nemusí informovat vždy u</w:t>
      </w:r>
      <w:r w:rsidR="00AF02E7">
        <w:rPr>
          <w:rFonts w:eastAsia="Calibri" w:cs="Arial"/>
        </w:rPr>
        <w:t> </w:t>
      </w:r>
      <w:r w:rsidR="00BA222C" w:rsidRPr="00382AD9">
        <w:rPr>
          <w:rFonts w:eastAsia="Calibri" w:cs="Arial"/>
        </w:rPr>
        <w:t>příslušného vodoprávního úřadu, jaké</w:t>
      </w:r>
      <w:r w:rsidR="00B03E7C">
        <w:rPr>
          <w:rFonts w:eastAsia="Calibri" w:cs="Arial"/>
        </w:rPr>
        <w:t xml:space="preserve"> náležitosti pro uvedenou žádost</w:t>
      </w:r>
      <w:r w:rsidR="00BA222C" w:rsidRPr="00382AD9">
        <w:rPr>
          <w:rFonts w:eastAsia="Calibri" w:cs="Arial"/>
        </w:rPr>
        <w:t xml:space="preserve"> je třeba splnit, a</w:t>
      </w:r>
      <w:r w:rsidR="00AF02E7">
        <w:rPr>
          <w:rFonts w:eastAsia="Calibri" w:cs="Arial"/>
        </w:rPr>
        <w:t> </w:t>
      </w:r>
      <w:r w:rsidR="00BA222C" w:rsidRPr="00382AD9">
        <w:rPr>
          <w:rFonts w:eastAsia="Calibri" w:cs="Arial"/>
        </w:rPr>
        <w:t xml:space="preserve"> rovněž ke sjednocení částečně nejednotné praxe vodoprávních úřadů.</w:t>
      </w:r>
    </w:p>
    <w:p w:rsidR="00B262B5" w:rsidRPr="00382AD9" w:rsidRDefault="00B262B5" w:rsidP="004A2155">
      <w:pPr>
        <w:rPr>
          <w:rFonts w:cs="Arial"/>
        </w:rPr>
      </w:pPr>
    </w:p>
    <w:p w:rsidR="004A2155" w:rsidRPr="00B03E7C" w:rsidRDefault="004A2155" w:rsidP="004A2155">
      <w:pPr>
        <w:rPr>
          <w:rFonts w:cs="Arial"/>
          <w:b/>
          <w:sz w:val="24"/>
          <w:szCs w:val="24"/>
        </w:rPr>
      </w:pPr>
      <w:r w:rsidRPr="00B03E7C">
        <w:rPr>
          <w:rFonts w:cs="Arial"/>
          <w:b/>
          <w:sz w:val="24"/>
          <w:szCs w:val="24"/>
        </w:rPr>
        <w:t>3.4</w:t>
      </w:r>
      <w:r w:rsidRPr="00B03E7C">
        <w:rPr>
          <w:rFonts w:cs="Arial"/>
          <w:b/>
          <w:sz w:val="24"/>
          <w:szCs w:val="24"/>
        </w:rPr>
        <w:tab/>
        <w:t>Vyhodnocení nákladů a přínosů variant</w:t>
      </w:r>
    </w:p>
    <w:p w:rsidR="00B03E7C" w:rsidRPr="006F6754" w:rsidRDefault="00B03E7C" w:rsidP="00B03E7C">
      <w:pPr>
        <w:spacing w:before="360" w:after="60"/>
        <w:jc w:val="both"/>
        <w:rPr>
          <w:rFonts w:cs="Arial"/>
          <w:b/>
          <w:i/>
          <w:spacing w:val="-3"/>
          <w:sz w:val="24"/>
          <w:szCs w:val="24"/>
          <w:u w:val="single"/>
        </w:rPr>
      </w:pPr>
      <w:r w:rsidRPr="006F6754">
        <w:rPr>
          <w:rFonts w:cs="Arial"/>
          <w:b/>
          <w:i/>
          <w:spacing w:val="-3"/>
          <w:sz w:val="24"/>
          <w:szCs w:val="24"/>
          <w:u w:val="single"/>
        </w:rPr>
        <w:t>Varianta 1 – nulová</w:t>
      </w:r>
    </w:p>
    <w:p w:rsidR="00CD0F37" w:rsidRDefault="00CD0F37" w:rsidP="00B03E7C">
      <w:pPr>
        <w:jc w:val="both"/>
        <w:rPr>
          <w:rFonts w:cs="Arial"/>
          <w:spacing w:val="-3"/>
        </w:rPr>
      </w:pPr>
    </w:p>
    <w:p w:rsidR="00B03E7C" w:rsidRPr="006F6754" w:rsidRDefault="00B03E7C" w:rsidP="00CD0F37">
      <w:pPr>
        <w:ind w:firstLine="708"/>
        <w:jc w:val="both"/>
        <w:rPr>
          <w:rFonts w:cs="Arial"/>
          <w:spacing w:val="-3"/>
        </w:rPr>
      </w:pPr>
      <w:r w:rsidRPr="006F6754">
        <w:rPr>
          <w:rFonts w:cs="Arial"/>
          <w:spacing w:val="-3"/>
        </w:rPr>
        <w:t xml:space="preserve">Podle názoru Ministerstva zemědělství </w:t>
      </w:r>
      <w:r>
        <w:rPr>
          <w:rFonts w:cs="Arial"/>
          <w:spacing w:val="-3"/>
        </w:rPr>
        <w:t>nelze</w:t>
      </w:r>
      <w:r w:rsidRPr="006F6754">
        <w:rPr>
          <w:rFonts w:cs="Arial"/>
          <w:spacing w:val="-3"/>
        </w:rPr>
        <w:t xml:space="preserve"> nulovou variantu </w:t>
      </w:r>
      <w:r>
        <w:rPr>
          <w:rFonts w:cs="Arial"/>
          <w:spacing w:val="-3"/>
        </w:rPr>
        <w:t xml:space="preserve">akceptovat. </w:t>
      </w:r>
      <w:r w:rsidRPr="006F6754">
        <w:rPr>
          <w:rFonts w:cs="Arial"/>
          <w:spacing w:val="-3"/>
        </w:rPr>
        <w:t>Důsledky tohoto řešení jsou uvedeny v části 1.6. Zhodnocení rizika a 2.2. Variant</w:t>
      </w:r>
      <w:r>
        <w:rPr>
          <w:rFonts w:cs="Arial"/>
          <w:spacing w:val="-3"/>
        </w:rPr>
        <w:t>y</w:t>
      </w:r>
      <w:r w:rsidRPr="006F6754">
        <w:rPr>
          <w:rFonts w:cs="Arial"/>
          <w:spacing w:val="-3"/>
        </w:rPr>
        <w:t xml:space="preserve"> věcného řešení.</w:t>
      </w:r>
    </w:p>
    <w:p w:rsidR="00646888" w:rsidRDefault="00B03E7C" w:rsidP="00B03E7C">
      <w:pPr>
        <w:spacing w:before="480" w:after="60"/>
        <w:jc w:val="both"/>
        <w:rPr>
          <w:rFonts w:cs="Arial"/>
          <w:b/>
          <w:i/>
          <w:spacing w:val="-3"/>
          <w:sz w:val="24"/>
          <w:szCs w:val="24"/>
          <w:u w:val="single"/>
        </w:rPr>
      </w:pPr>
      <w:r w:rsidRPr="006F6754">
        <w:rPr>
          <w:rFonts w:cs="Arial"/>
          <w:b/>
          <w:i/>
          <w:spacing w:val="-3"/>
          <w:sz w:val="24"/>
          <w:szCs w:val="24"/>
          <w:u w:val="single"/>
        </w:rPr>
        <w:t>Varianta 2 – příprava návrhu vyhlášky:</w:t>
      </w:r>
    </w:p>
    <w:p w:rsidR="00CD0F37" w:rsidRDefault="00CD0F37" w:rsidP="00646888">
      <w:pPr>
        <w:spacing w:after="120" w:line="276" w:lineRule="auto"/>
        <w:ind w:firstLine="709"/>
        <w:jc w:val="both"/>
        <w:rPr>
          <w:rFonts w:cs="Arial"/>
          <w:spacing w:val="-3"/>
        </w:rPr>
      </w:pPr>
    </w:p>
    <w:p w:rsidR="00646888" w:rsidRPr="00382AD9" w:rsidRDefault="00646888" w:rsidP="00646888">
      <w:pPr>
        <w:spacing w:after="120" w:line="276" w:lineRule="auto"/>
        <w:ind w:firstLine="709"/>
        <w:jc w:val="both"/>
        <w:rPr>
          <w:rFonts w:eastAsia="Calibri" w:cs="Arial"/>
        </w:rPr>
      </w:pPr>
      <w:r>
        <w:rPr>
          <w:rFonts w:cs="Arial"/>
          <w:spacing w:val="-3"/>
        </w:rPr>
        <w:t xml:space="preserve">Tato varianta nepřináší z hlediska vodního hospodářství žádné nové náklady, ale pouze zřetelné přínosy, jímž je zcela jednoznačně </w:t>
      </w:r>
      <w:r w:rsidRPr="00382AD9">
        <w:rPr>
          <w:rFonts w:eastAsia="Calibri" w:cs="Arial"/>
        </w:rPr>
        <w:t>snížení nároků na žadatele</w:t>
      </w:r>
      <w:r>
        <w:rPr>
          <w:rFonts w:eastAsia="Calibri" w:cs="Arial"/>
        </w:rPr>
        <w:t xml:space="preserve"> a </w:t>
      </w:r>
      <w:r w:rsidRPr="00382AD9">
        <w:rPr>
          <w:rFonts w:eastAsia="Calibri" w:cs="Arial"/>
        </w:rPr>
        <w:t>ke sjednocení částečně nejednotné praxe vodoprávních úřadů.</w:t>
      </w:r>
    </w:p>
    <w:p w:rsidR="00CD0F37" w:rsidRDefault="00CD0F37" w:rsidP="00CD0F37">
      <w:pPr>
        <w:spacing w:before="120" w:after="60"/>
        <w:jc w:val="both"/>
        <w:rPr>
          <w:rFonts w:cs="Arial"/>
          <w:b/>
          <w:spacing w:val="-3"/>
          <w:sz w:val="24"/>
          <w:szCs w:val="24"/>
          <w:u w:val="single"/>
        </w:rPr>
      </w:pPr>
    </w:p>
    <w:p w:rsidR="00646888" w:rsidRPr="006F6754" w:rsidRDefault="00646888" w:rsidP="00646888">
      <w:pPr>
        <w:spacing w:before="480" w:after="60"/>
        <w:jc w:val="both"/>
        <w:rPr>
          <w:rFonts w:cs="Arial"/>
          <w:b/>
          <w:spacing w:val="-3"/>
          <w:sz w:val="24"/>
          <w:szCs w:val="24"/>
          <w:u w:val="single"/>
        </w:rPr>
      </w:pPr>
      <w:r w:rsidRPr="006F6754">
        <w:rPr>
          <w:rFonts w:cs="Arial"/>
          <w:b/>
          <w:spacing w:val="-3"/>
          <w:sz w:val="24"/>
          <w:szCs w:val="24"/>
          <w:u w:val="single"/>
        </w:rPr>
        <w:t>Hospodářské a administrativní dopady návrhu</w:t>
      </w:r>
    </w:p>
    <w:p w:rsidR="00646888" w:rsidRPr="006F6754" w:rsidRDefault="00646888" w:rsidP="00646888">
      <w:pPr>
        <w:tabs>
          <w:tab w:val="left" w:pos="426"/>
        </w:tabs>
        <w:spacing w:before="60" w:after="60"/>
        <w:ind w:left="426" w:hanging="426"/>
        <w:jc w:val="both"/>
        <w:rPr>
          <w:rFonts w:cs="Arial"/>
          <w:spacing w:val="-3"/>
        </w:rPr>
      </w:pPr>
    </w:p>
    <w:p w:rsidR="00646888" w:rsidRPr="006F6754" w:rsidRDefault="00646888" w:rsidP="00646888">
      <w:pPr>
        <w:pStyle w:val="Odstavecseseznamem"/>
        <w:spacing w:before="60" w:after="60"/>
        <w:ind w:left="0"/>
        <w:jc w:val="both"/>
        <w:rPr>
          <w:rFonts w:cs="Arial"/>
          <w:b/>
          <w:i/>
          <w:spacing w:val="-3"/>
          <w:sz w:val="24"/>
          <w:szCs w:val="24"/>
        </w:rPr>
      </w:pPr>
      <w:r w:rsidRPr="006F6754">
        <w:rPr>
          <w:rFonts w:cs="Arial"/>
          <w:b/>
          <w:i/>
          <w:spacing w:val="-3"/>
          <w:sz w:val="24"/>
          <w:szCs w:val="24"/>
        </w:rPr>
        <w:t>A.</w:t>
      </w:r>
      <w:r w:rsidRPr="006F6754">
        <w:rPr>
          <w:rFonts w:cs="Arial"/>
          <w:b/>
          <w:i/>
          <w:spacing w:val="-3"/>
          <w:sz w:val="24"/>
          <w:szCs w:val="24"/>
        </w:rPr>
        <w:tab/>
        <w:t xml:space="preserve">Dopady na </w:t>
      </w:r>
      <w:r>
        <w:rPr>
          <w:rFonts w:cs="Arial"/>
          <w:b/>
          <w:i/>
          <w:spacing w:val="-3"/>
          <w:sz w:val="24"/>
          <w:szCs w:val="24"/>
        </w:rPr>
        <w:t>veřejnost</w:t>
      </w:r>
    </w:p>
    <w:p w:rsidR="00646888" w:rsidRDefault="00646888" w:rsidP="00646888">
      <w:pPr>
        <w:spacing w:before="120" w:after="60"/>
        <w:jc w:val="both"/>
        <w:rPr>
          <w:rFonts w:cs="Arial"/>
          <w:spacing w:val="-3"/>
        </w:rPr>
      </w:pPr>
      <w:r w:rsidRPr="006F6754">
        <w:rPr>
          <w:rFonts w:cs="Arial"/>
          <w:spacing w:val="-3"/>
        </w:rPr>
        <w:t xml:space="preserve">Přijetí návrhu nebude mít </w:t>
      </w:r>
      <w:r>
        <w:rPr>
          <w:rFonts w:cs="Arial"/>
          <w:spacing w:val="-3"/>
        </w:rPr>
        <w:t>žádné zásadní</w:t>
      </w:r>
      <w:r w:rsidRPr="006F6754">
        <w:rPr>
          <w:rFonts w:cs="Arial"/>
          <w:spacing w:val="-3"/>
        </w:rPr>
        <w:t xml:space="preserve"> administrativní </w:t>
      </w:r>
      <w:r>
        <w:rPr>
          <w:rFonts w:cs="Arial"/>
          <w:spacing w:val="-3"/>
        </w:rPr>
        <w:t xml:space="preserve">ani jiné </w:t>
      </w:r>
      <w:r w:rsidRPr="006F6754">
        <w:rPr>
          <w:rFonts w:cs="Arial"/>
          <w:spacing w:val="-3"/>
        </w:rPr>
        <w:t>dopad</w:t>
      </w:r>
      <w:r>
        <w:rPr>
          <w:rFonts w:cs="Arial"/>
          <w:spacing w:val="-3"/>
        </w:rPr>
        <w:t>y</w:t>
      </w:r>
      <w:r w:rsidRPr="006F6754">
        <w:rPr>
          <w:rFonts w:cs="Arial"/>
          <w:spacing w:val="-3"/>
        </w:rPr>
        <w:t xml:space="preserve"> n</w:t>
      </w:r>
      <w:r>
        <w:rPr>
          <w:rFonts w:cs="Arial"/>
          <w:spacing w:val="-3"/>
        </w:rPr>
        <w:t>a veřejnost</w:t>
      </w:r>
      <w:r w:rsidRPr="006F6754">
        <w:rPr>
          <w:rFonts w:cs="Arial"/>
          <w:spacing w:val="-3"/>
        </w:rPr>
        <w:t>,</w:t>
      </w:r>
      <w:r>
        <w:rPr>
          <w:rFonts w:cs="Arial"/>
          <w:spacing w:val="-3"/>
        </w:rPr>
        <w:t xml:space="preserve"> které nepřináší</w:t>
      </w:r>
      <w:r w:rsidRPr="006F6754">
        <w:rPr>
          <w:rFonts w:cs="Arial"/>
          <w:spacing w:val="-3"/>
        </w:rPr>
        <w:t xml:space="preserve"> ani žádné nové povinnosti</w:t>
      </w:r>
      <w:r>
        <w:rPr>
          <w:rFonts w:cs="Arial"/>
          <w:spacing w:val="-3"/>
        </w:rPr>
        <w:t xml:space="preserve"> nebo omezení</w:t>
      </w:r>
      <w:r w:rsidRPr="006F6754">
        <w:rPr>
          <w:rFonts w:cs="Arial"/>
          <w:spacing w:val="-3"/>
        </w:rPr>
        <w:t xml:space="preserve">. </w:t>
      </w:r>
    </w:p>
    <w:p w:rsidR="00646888" w:rsidRPr="006F6754" w:rsidRDefault="00646888" w:rsidP="00646888">
      <w:pPr>
        <w:spacing w:before="360" w:after="60"/>
        <w:jc w:val="both"/>
        <w:rPr>
          <w:rFonts w:cs="Arial"/>
          <w:b/>
          <w:i/>
          <w:spacing w:val="-3"/>
          <w:sz w:val="24"/>
          <w:szCs w:val="24"/>
        </w:rPr>
      </w:pPr>
      <w:r>
        <w:rPr>
          <w:rFonts w:cs="Arial"/>
          <w:b/>
          <w:i/>
          <w:spacing w:val="-3"/>
          <w:sz w:val="24"/>
          <w:szCs w:val="24"/>
        </w:rPr>
        <w:t>B</w:t>
      </w:r>
      <w:r w:rsidRPr="006F6754">
        <w:rPr>
          <w:rFonts w:cs="Arial"/>
          <w:b/>
          <w:i/>
          <w:spacing w:val="-3"/>
          <w:sz w:val="24"/>
          <w:szCs w:val="24"/>
        </w:rPr>
        <w:t>.</w:t>
      </w:r>
      <w:r w:rsidRPr="006F6754">
        <w:rPr>
          <w:rFonts w:cs="Arial"/>
          <w:b/>
          <w:i/>
          <w:spacing w:val="-3"/>
          <w:sz w:val="24"/>
          <w:szCs w:val="24"/>
        </w:rPr>
        <w:tab/>
        <w:t xml:space="preserve">Dopady na státní rozpočet a ostatní veřejné rozpočty </w:t>
      </w:r>
    </w:p>
    <w:p w:rsidR="00646888" w:rsidRDefault="00646888" w:rsidP="00646888">
      <w:pPr>
        <w:spacing w:before="120" w:after="60"/>
        <w:jc w:val="both"/>
        <w:rPr>
          <w:rFonts w:cs="Arial"/>
          <w:spacing w:val="-3"/>
        </w:rPr>
      </w:pPr>
      <w:r w:rsidRPr="006F6754">
        <w:rPr>
          <w:rFonts w:cs="Arial"/>
          <w:spacing w:val="-3"/>
        </w:rPr>
        <w:t xml:space="preserve">Návrh vyhlášky nepřináší hospodářské nebo finanční dopady na státní rozpočet ani </w:t>
      </w:r>
      <w:r>
        <w:rPr>
          <w:rFonts w:cs="Arial"/>
          <w:spacing w:val="-3"/>
        </w:rPr>
        <w:t xml:space="preserve">na </w:t>
      </w:r>
      <w:r w:rsidRPr="006F6754">
        <w:rPr>
          <w:rFonts w:cs="Arial"/>
          <w:spacing w:val="-3"/>
        </w:rPr>
        <w:t>ostatní veřejné rozpočty.</w:t>
      </w:r>
    </w:p>
    <w:p w:rsidR="003C655C" w:rsidRPr="006F6754" w:rsidRDefault="003C655C" w:rsidP="00646888">
      <w:pPr>
        <w:spacing w:before="120" w:after="60"/>
        <w:jc w:val="both"/>
        <w:rPr>
          <w:rFonts w:cs="Arial"/>
          <w:spacing w:val="-3"/>
        </w:rPr>
      </w:pPr>
    </w:p>
    <w:p w:rsidR="00646888" w:rsidRDefault="00646888" w:rsidP="00646888">
      <w:pPr>
        <w:keepNext/>
        <w:spacing w:before="120" w:after="60"/>
        <w:jc w:val="both"/>
        <w:rPr>
          <w:rFonts w:cs="Arial"/>
          <w:b/>
          <w:spacing w:val="-3"/>
          <w:sz w:val="28"/>
          <w:szCs w:val="28"/>
        </w:rPr>
      </w:pPr>
      <w:r w:rsidRPr="006173DD">
        <w:rPr>
          <w:rFonts w:cs="Arial"/>
          <w:b/>
          <w:spacing w:val="-3"/>
          <w:sz w:val="28"/>
          <w:szCs w:val="28"/>
        </w:rPr>
        <w:lastRenderedPageBreak/>
        <w:t>4. Návrh řešení</w:t>
      </w:r>
    </w:p>
    <w:p w:rsidR="00646888" w:rsidRPr="006F6754" w:rsidRDefault="00646888" w:rsidP="00646888">
      <w:pPr>
        <w:keepNext/>
        <w:spacing w:before="240" w:after="60"/>
        <w:jc w:val="both"/>
        <w:rPr>
          <w:rFonts w:cs="Arial"/>
          <w:spacing w:val="-3"/>
          <w:sz w:val="24"/>
          <w:szCs w:val="24"/>
          <w:u w:val="single"/>
        </w:rPr>
      </w:pPr>
      <w:r w:rsidRPr="006F6754">
        <w:rPr>
          <w:rFonts w:cs="Arial"/>
          <w:b/>
          <w:spacing w:val="-3"/>
          <w:sz w:val="24"/>
          <w:szCs w:val="24"/>
        </w:rPr>
        <w:t>4.1. Stanovení pořadí variant a výběr nejvhodnějšího řešení</w:t>
      </w:r>
    </w:p>
    <w:p w:rsidR="00646888" w:rsidRPr="006F6754" w:rsidRDefault="00646888" w:rsidP="00646888">
      <w:pPr>
        <w:keepNext/>
        <w:spacing w:before="360" w:after="60"/>
        <w:jc w:val="both"/>
        <w:rPr>
          <w:rFonts w:cs="Arial"/>
          <w:b/>
          <w:i/>
          <w:spacing w:val="-3"/>
          <w:sz w:val="24"/>
          <w:szCs w:val="24"/>
          <w:u w:val="single"/>
        </w:rPr>
      </w:pPr>
      <w:r w:rsidRPr="006F6754">
        <w:rPr>
          <w:rFonts w:cs="Arial"/>
          <w:b/>
          <w:i/>
          <w:spacing w:val="-3"/>
          <w:sz w:val="24"/>
          <w:szCs w:val="24"/>
          <w:u w:val="single"/>
        </w:rPr>
        <w:t>Varianta 1 – nulová</w:t>
      </w:r>
    </w:p>
    <w:p w:rsidR="00646888" w:rsidRPr="006F6754" w:rsidRDefault="00646888" w:rsidP="00CD0F37">
      <w:pPr>
        <w:spacing w:before="120" w:after="60"/>
        <w:ind w:firstLine="708"/>
        <w:jc w:val="both"/>
        <w:rPr>
          <w:rFonts w:cs="Arial"/>
          <w:spacing w:val="-3"/>
        </w:rPr>
      </w:pPr>
      <w:r w:rsidRPr="006F6754">
        <w:rPr>
          <w:rFonts w:cs="Arial"/>
          <w:spacing w:val="-3"/>
        </w:rPr>
        <w:t xml:space="preserve">Podle názoru Ministerstva zemědělství </w:t>
      </w:r>
      <w:r>
        <w:rPr>
          <w:rFonts w:cs="Arial"/>
          <w:spacing w:val="-3"/>
        </w:rPr>
        <w:t>nelze nulovou variantu využít.</w:t>
      </w:r>
      <w:r w:rsidRPr="006F6754">
        <w:rPr>
          <w:rFonts w:cs="Arial"/>
          <w:spacing w:val="-3"/>
        </w:rPr>
        <w:t xml:space="preserve"> Důsledky tohoto řešení jsou uvedeny v části 1.6. Zhodnocení rizika a 2.2. Varianty věcného řešení.</w:t>
      </w:r>
    </w:p>
    <w:p w:rsidR="00646888" w:rsidRPr="006F6754" w:rsidRDefault="00646888" w:rsidP="00646888">
      <w:pPr>
        <w:spacing w:before="360" w:after="60"/>
        <w:jc w:val="both"/>
        <w:rPr>
          <w:rFonts w:cs="Arial"/>
          <w:b/>
          <w:i/>
          <w:spacing w:val="-3"/>
          <w:sz w:val="24"/>
          <w:szCs w:val="24"/>
          <w:u w:val="single"/>
        </w:rPr>
      </w:pPr>
      <w:r w:rsidRPr="006F6754">
        <w:rPr>
          <w:rFonts w:cs="Arial"/>
          <w:b/>
          <w:i/>
          <w:spacing w:val="-3"/>
          <w:sz w:val="24"/>
          <w:szCs w:val="24"/>
          <w:u w:val="single"/>
        </w:rPr>
        <w:t>Varianta 2 – příprava návrhu vyhlášky</w:t>
      </w:r>
    </w:p>
    <w:p w:rsidR="00646888" w:rsidRPr="002942A8" w:rsidRDefault="00646888" w:rsidP="00CD0F37">
      <w:pPr>
        <w:spacing w:before="120" w:after="60"/>
        <w:ind w:firstLine="708"/>
        <w:jc w:val="both"/>
        <w:rPr>
          <w:rFonts w:cs="Arial"/>
          <w:spacing w:val="-3"/>
        </w:rPr>
      </w:pPr>
      <w:r w:rsidRPr="002942A8">
        <w:rPr>
          <w:rFonts w:cs="Arial"/>
          <w:spacing w:val="-3"/>
        </w:rPr>
        <w:t>Varianta 2 je jedinou možností, kterou lze</w:t>
      </w:r>
      <w:r>
        <w:rPr>
          <w:rFonts w:cs="Arial"/>
          <w:spacing w:val="-3"/>
        </w:rPr>
        <w:t xml:space="preserve"> relativně rychle</w:t>
      </w:r>
      <w:r w:rsidRPr="002942A8">
        <w:rPr>
          <w:rFonts w:cs="Arial"/>
          <w:spacing w:val="-3"/>
        </w:rPr>
        <w:t xml:space="preserve"> </w:t>
      </w:r>
      <w:r>
        <w:rPr>
          <w:rFonts w:cs="Arial"/>
          <w:spacing w:val="-3"/>
        </w:rPr>
        <w:t>reagovat</w:t>
      </w:r>
      <w:r w:rsidRPr="003934FF">
        <w:rPr>
          <w:rFonts w:cs="Arial"/>
        </w:rPr>
        <w:t xml:space="preserve"> na novelu vodního zákona (zákon č. 113/2018 Sb.), která vstoupila v platnost dne 15. 6. 2018 a v účinnost vstoupila dne 1. 1. 2019</w:t>
      </w:r>
      <w:r>
        <w:rPr>
          <w:rFonts w:cs="Arial"/>
          <w:spacing w:val="-3"/>
        </w:rPr>
        <w:t xml:space="preserve">. </w:t>
      </w:r>
    </w:p>
    <w:p w:rsidR="00646888" w:rsidRDefault="00646888" w:rsidP="00646888">
      <w:pPr>
        <w:spacing w:before="60" w:after="60"/>
        <w:jc w:val="both"/>
        <w:rPr>
          <w:rFonts w:cs="Arial"/>
          <w:b/>
          <w:spacing w:val="-3"/>
        </w:rPr>
      </w:pPr>
    </w:p>
    <w:p w:rsidR="00646888" w:rsidRPr="006173DD" w:rsidRDefault="00646888" w:rsidP="00646888">
      <w:pPr>
        <w:tabs>
          <w:tab w:val="left" w:pos="426"/>
        </w:tabs>
        <w:spacing w:before="240" w:after="60"/>
        <w:jc w:val="both"/>
        <w:rPr>
          <w:rFonts w:cs="Arial"/>
          <w:b/>
          <w:spacing w:val="-3"/>
          <w:sz w:val="28"/>
          <w:szCs w:val="28"/>
        </w:rPr>
      </w:pPr>
      <w:r w:rsidRPr="006173DD">
        <w:rPr>
          <w:rFonts w:cs="Arial"/>
          <w:b/>
          <w:spacing w:val="-3"/>
          <w:sz w:val="28"/>
          <w:szCs w:val="28"/>
        </w:rPr>
        <w:t>5.</w:t>
      </w:r>
      <w:r w:rsidRPr="006173DD">
        <w:rPr>
          <w:rFonts w:cs="Arial"/>
          <w:b/>
          <w:spacing w:val="-3"/>
          <w:sz w:val="28"/>
          <w:szCs w:val="28"/>
        </w:rPr>
        <w:tab/>
        <w:t>Implementace doporučené varianty a vynucování</w:t>
      </w:r>
    </w:p>
    <w:p w:rsidR="00CD0F37" w:rsidRDefault="00CD0F37" w:rsidP="00646888">
      <w:pPr>
        <w:tabs>
          <w:tab w:val="left" w:pos="426"/>
        </w:tabs>
        <w:spacing w:after="60"/>
        <w:jc w:val="both"/>
        <w:rPr>
          <w:rFonts w:cs="Arial"/>
          <w:spacing w:val="-3"/>
        </w:rPr>
      </w:pPr>
      <w:r>
        <w:rPr>
          <w:rFonts w:cs="Arial"/>
          <w:spacing w:val="-3"/>
        </w:rPr>
        <w:tab/>
      </w:r>
      <w:r>
        <w:rPr>
          <w:rFonts w:cs="Arial"/>
          <w:spacing w:val="-3"/>
        </w:rPr>
        <w:tab/>
      </w:r>
    </w:p>
    <w:p w:rsidR="00646888" w:rsidRDefault="00CD0F37" w:rsidP="00646888">
      <w:pPr>
        <w:tabs>
          <w:tab w:val="left" w:pos="426"/>
        </w:tabs>
        <w:spacing w:after="60"/>
        <w:jc w:val="both"/>
        <w:rPr>
          <w:rFonts w:cs="Arial"/>
          <w:spacing w:val="-3"/>
        </w:rPr>
      </w:pPr>
      <w:r>
        <w:rPr>
          <w:rFonts w:cs="Arial"/>
          <w:spacing w:val="-3"/>
        </w:rPr>
        <w:tab/>
      </w:r>
      <w:r>
        <w:rPr>
          <w:rFonts w:cs="Arial"/>
          <w:spacing w:val="-3"/>
        </w:rPr>
        <w:tab/>
      </w:r>
      <w:r w:rsidR="00646888" w:rsidRPr="006F6754">
        <w:rPr>
          <w:rFonts w:cs="Arial"/>
          <w:spacing w:val="-3"/>
        </w:rPr>
        <w:t>Navrhovan</w:t>
      </w:r>
      <w:r w:rsidR="00646888">
        <w:rPr>
          <w:rFonts w:cs="Arial"/>
          <w:spacing w:val="-3"/>
        </w:rPr>
        <w:t>é změny</w:t>
      </w:r>
      <w:r w:rsidR="00646888" w:rsidRPr="006F6754">
        <w:rPr>
          <w:rFonts w:cs="Arial"/>
          <w:spacing w:val="-3"/>
        </w:rPr>
        <w:t xml:space="preserve"> nepřiná</w:t>
      </w:r>
      <w:r w:rsidR="00646888">
        <w:rPr>
          <w:rFonts w:cs="Arial"/>
          <w:spacing w:val="-3"/>
        </w:rPr>
        <w:t xml:space="preserve">šejí </w:t>
      </w:r>
      <w:r w:rsidR="00646888" w:rsidRPr="006F6754">
        <w:rPr>
          <w:rFonts w:cs="Arial"/>
          <w:spacing w:val="-3"/>
        </w:rPr>
        <w:t>nové povinnosti, jejichž dodržování by muselo být vynu</w:t>
      </w:r>
      <w:r w:rsidR="00646888">
        <w:rPr>
          <w:rFonts w:cs="Arial"/>
          <w:spacing w:val="-3"/>
        </w:rPr>
        <w:t xml:space="preserve">cováno orgány státní správy </w:t>
      </w:r>
      <w:r w:rsidR="002D613A">
        <w:rPr>
          <w:rFonts w:cs="Arial"/>
          <w:spacing w:val="-3"/>
        </w:rPr>
        <w:t>ve vodním hospodářství</w:t>
      </w:r>
      <w:r w:rsidR="00646888">
        <w:rPr>
          <w:rFonts w:cs="Arial"/>
          <w:spacing w:val="-3"/>
        </w:rPr>
        <w:t xml:space="preserve"> </w:t>
      </w:r>
      <w:r w:rsidR="00646888" w:rsidRPr="006F6754">
        <w:rPr>
          <w:rFonts w:cs="Arial"/>
          <w:spacing w:val="-3"/>
        </w:rPr>
        <w:t>nebo jiným</w:t>
      </w:r>
      <w:r w:rsidR="00646888">
        <w:rPr>
          <w:rFonts w:cs="Arial"/>
          <w:spacing w:val="-3"/>
        </w:rPr>
        <w:t>i</w:t>
      </w:r>
      <w:r w:rsidR="00646888" w:rsidRPr="006F6754">
        <w:rPr>
          <w:rFonts w:cs="Arial"/>
          <w:spacing w:val="-3"/>
        </w:rPr>
        <w:t xml:space="preserve"> správním</w:t>
      </w:r>
      <w:r w:rsidR="00646888">
        <w:rPr>
          <w:rFonts w:cs="Arial"/>
          <w:spacing w:val="-3"/>
        </w:rPr>
        <w:t>i orgány</w:t>
      </w:r>
      <w:r w:rsidR="00646888" w:rsidRPr="006F6754">
        <w:rPr>
          <w:rFonts w:cs="Arial"/>
          <w:spacing w:val="-3"/>
        </w:rPr>
        <w:t xml:space="preserve">. </w:t>
      </w:r>
    </w:p>
    <w:p w:rsidR="00CD0F37" w:rsidRDefault="00CD0F37" w:rsidP="00646888">
      <w:pPr>
        <w:tabs>
          <w:tab w:val="left" w:pos="426"/>
        </w:tabs>
        <w:spacing w:after="60"/>
        <w:jc w:val="both"/>
        <w:rPr>
          <w:rFonts w:cs="Arial"/>
          <w:spacing w:val="-3"/>
        </w:rPr>
      </w:pPr>
    </w:p>
    <w:p w:rsidR="00646888" w:rsidRPr="008F4C06" w:rsidRDefault="00646888" w:rsidP="00646888">
      <w:pPr>
        <w:keepNext/>
        <w:keepLines/>
        <w:tabs>
          <w:tab w:val="left" w:pos="426"/>
        </w:tabs>
        <w:spacing w:before="240" w:after="120"/>
        <w:jc w:val="both"/>
        <w:rPr>
          <w:rFonts w:cs="Arial"/>
          <w:b/>
          <w:spacing w:val="-3"/>
          <w:sz w:val="24"/>
          <w:szCs w:val="28"/>
        </w:rPr>
      </w:pPr>
      <w:r w:rsidRPr="008F4C06">
        <w:rPr>
          <w:rFonts w:cs="Arial"/>
          <w:b/>
          <w:spacing w:val="-3"/>
          <w:sz w:val="24"/>
          <w:szCs w:val="28"/>
        </w:rPr>
        <w:t>6.</w:t>
      </w:r>
      <w:r w:rsidRPr="008F4C06">
        <w:rPr>
          <w:rFonts w:cs="Arial"/>
          <w:b/>
          <w:spacing w:val="-3"/>
          <w:sz w:val="24"/>
          <w:szCs w:val="28"/>
        </w:rPr>
        <w:tab/>
        <w:t>Přezkum účinnosti regulace</w:t>
      </w:r>
    </w:p>
    <w:p w:rsidR="00CD0F37" w:rsidRDefault="00CD0F37" w:rsidP="00646888">
      <w:pPr>
        <w:keepNext/>
        <w:keepLines/>
        <w:tabs>
          <w:tab w:val="left" w:pos="426"/>
        </w:tabs>
        <w:jc w:val="both"/>
        <w:rPr>
          <w:rFonts w:cs="Arial"/>
          <w:spacing w:val="-3"/>
        </w:rPr>
      </w:pPr>
      <w:r>
        <w:rPr>
          <w:rFonts w:cs="Arial"/>
          <w:spacing w:val="-3"/>
        </w:rPr>
        <w:tab/>
      </w:r>
      <w:r>
        <w:rPr>
          <w:rFonts w:cs="Arial"/>
          <w:spacing w:val="-3"/>
        </w:rPr>
        <w:tab/>
      </w:r>
      <w:r w:rsidR="002D613A" w:rsidRPr="002D613A">
        <w:rPr>
          <w:rFonts w:cs="Arial"/>
          <w:spacing w:val="-3"/>
        </w:rPr>
        <w:t>Přezkum dopadů regulace bude realizován průběžným monitorováním prostřednictvím výsledků kontrolní činnosti dozorových orgánů v gesci Ministerstva zemědělství, zejména v</w:t>
      </w:r>
      <w:r>
        <w:rPr>
          <w:rFonts w:cs="Arial"/>
          <w:spacing w:val="-3"/>
        </w:rPr>
        <w:t> </w:t>
      </w:r>
      <w:r w:rsidR="002D613A" w:rsidRPr="002D613A">
        <w:rPr>
          <w:rFonts w:cs="Arial"/>
          <w:spacing w:val="-3"/>
        </w:rPr>
        <w:t>oblasti státní správy ve vodním hospodářství. Rozsah dokladů předkládaných vodoprávnímu úřadu, stejně jako náležitosti vydávaných rozhodnutí, vycházejí z platné právní úpravy, zejména zákona č. 254/2001 Sb., zákona č. 183/2006 Sb.</w:t>
      </w:r>
      <w:r>
        <w:rPr>
          <w:rFonts w:cs="Arial"/>
          <w:spacing w:val="-3"/>
        </w:rPr>
        <w:t xml:space="preserve"> a</w:t>
      </w:r>
      <w:r w:rsidR="002D613A" w:rsidRPr="002D613A">
        <w:rPr>
          <w:rFonts w:cs="Arial"/>
          <w:spacing w:val="-3"/>
        </w:rPr>
        <w:t xml:space="preserve"> zákona č. 274/2001 Sb., a potřeba jejich revize vychází vždy z aktuálně platné úpravy těchto předpisů.</w:t>
      </w:r>
      <w:r w:rsidR="00646888">
        <w:rPr>
          <w:rFonts w:cs="Arial"/>
          <w:spacing w:val="-3"/>
        </w:rPr>
        <w:t> </w:t>
      </w:r>
    </w:p>
    <w:p w:rsidR="00646888" w:rsidRDefault="00646888" w:rsidP="00646888">
      <w:pPr>
        <w:keepNext/>
        <w:keepLines/>
        <w:tabs>
          <w:tab w:val="left" w:pos="426"/>
        </w:tabs>
        <w:jc w:val="both"/>
        <w:rPr>
          <w:rFonts w:cs="Arial"/>
          <w:spacing w:val="-3"/>
        </w:rPr>
      </w:pPr>
      <w:r>
        <w:rPr>
          <w:rFonts w:cs="Arial"/>
          <w:spacing w:val="-3"/>
        </w:rPr>
        <w:t xml:space="preserve"> </w:t>
      </w:r>
    </w:p>
    <w:p w:rsidR="00646888" w:rsidRPr="008F4C06" w:rsidRDefault="00646888" w:rsidP="00646888">
      <w:pPr>
        <w:tabs>
          <w:tab w:val="left" w:pos="426"/>
        </w:tabs>
        <w:spacing w:before="240" w:after="120"/>
        <w:jc w:val="both"/>
        <w:rPr>
          <w:rFonts w:cs="Arial"/>
          <w:b/>
          <w:spacing w:val="-3"/>
          <w:sz w:val="24"/>
          <w:szCs w:val="28"/>
        </w:rPr>
      </w:pPr>
      <w:r w:rsidRPr="008F4C06">
        <w:rPr>
          <w:rFonts w:cs="Arial"/>
          <w:b/>
          <w:spacing w:val="-3"/>
          <w:sz w:val="24"/>
          <w:szCs w:val="28"/>
        </w:rPr>
        <w:t>7.</w:t>
      </w:r>
      <w:r w:rsidRPr="008F4C06">
        <w:rPr>
          <w:rFonts w:cs="Arial"/>
          <w:b/>
          <w:spacing w:val="-3"/>
          <w:sz w:val="24"/>
          <w:szCs w:val="28"/>
        </w:rPr>
        <w:tab/>
        <w:t>Konzultace a zdroje dat</w:t>
      </w:r>
    </w:p>
    <w:p w:rsidR="002D613A" w:rsidRPr="00382AD9" w:rsidRDefault="002D613A" w:rsidP="002D613A">
      <w:pPr>
        <w:ind w:firstLine="708"/>
        <w:jc w:val="both"/>
        <w:rPr>
          <w:rFonts w:eastAsia="Calibri" w:cs="Arial"/>
        </w:rPr>
      </w:pPr>
      <w:r w:rsidRPr="00382AD9">
        <w:rPr>
          <w:rFonts w:eastAsia="Calibri" w:cs="Arial"/>
        </w:rPr>
        <w:t>Základem pro zpracování RIA byly poznatky odboru státní správy ve vodním hospodářství a správy povodí z kontrol prováděných u krajských vodoprávních úřadů na základě Usnesení vlády České republiky ze dne 11. září 2013 č. 689 a Plánu kontrol výkonu přenesené působnosti krajů a hlavního města Prahy prováděných ústředními správními úřady, stejně tak z kontrol prováděných tímto odborem u vodoprávních úřadů obcí s rozšířenou působností, které jsou prováděny v rámci vlastní metodické činnosti Ministerstva zemědělství.</w:t>
      </w:r>
    </w:p>
    <w:p w:rsidR="00646888" w:rsidRDefault="00646888" w:rsidP="004A2155">
      <w:pPr>
        <w:rPr>
          <w:rFonts w:cs="Arial"/>
        </w:rPr>
      </w:pPr>
    </w:p>
    <w:p w:rsidR="002D613A" w:rsidRPr="008F4C06" w:rsidRDefault="002D613A" w:rsidP="002D613A">
      <w:pPr>
        <w:tabs>
          <w:tab w:val="left" w:pos="426"/>
        </w:tabs>
        <w:spacing w:before="240" w:after="60"/>
        <w:jc w:val="both"/>
        <w:rPr>
          <w:rFonts w:cs="Arial"/>
          <w:b/>
          <w:spacing w:val="-3"/>
          <w:sz w:val="24"/>
          <w:szCs w:val="28"/>
        </w:rPr>
      </w:pPr>
      <w:r w:rsidRPr="008F4C06">
        <w:rPr>
          <w:rFonts w:cs="Arial"/>
          <w:b/>
          <w:spacing w:val="-3"/>
          <w:sz w:val="24"/>
          <w:szCs w:val="28"/>
        </w:rPr>
        <w:t>8.</w:t>
      </w:r>
      <w:r w:rsidRPr="008F4C06">
        <w:rPr>
          <w:rFonts w:cs="Arial"/>
          <w:b/>
          <w:spacing w:val="-3"/>
          <w:sz w:val="24"/>
          <w:szCs w:val="28"/>
        </w:rPr>
        <w:tab/>
        <w:t>Kontakt na zpracovatele RIA</w:t>
      </w:r>
    </w:p>
    <w:p w:rsidR="00CD0F37" w:rsidRDefault="00CD0F37" w:rsidP="002D613A">
      <w:pPr>
        <w:jc w:val="both"/>
        <w:rPr>
          <w:rFonts w:eastAsia="Times New Roman" w:cs="Arial"/>
          <w:lang w:eastAsia="cs-CZ"/>
        </w:rPr>
      </w:pPr>
    </w:p>
    <w:p w:rsidR="002D613A" w:rsidRPr="00382AD9" w:rsidRDefault="002D613A" w:rsidP="002D613A">
      <w:pPr>
        <w:jc w:val="both"/>
        <w:rPr>
          <w:rFonts w:eastAsia="Times New Roman" w:cs="Arial"/>
          <w:lang w:eastAsia="cs-CZ"/>
        </w:rPr>
      </w:pPr>
      <w:r w:rsidRPr="00382AD9">
        <w:rPr>
          <w:rFonts w:eastAsia="Times New Roman" w:cs="Arial"/>
          <w:lang w:eastAsia="cs-CZ"/>
        </w:rPr>
        <w:t>Jméno a příjmení:</w:t>
      </w:r>
      <w:r w:rsidRPr="00382AD9">
        <w:rPr>
          <w:rFonts w:eastAsia="Times New Roman" w:cs="Arial"/>
          <w:lang w:eastAsia="cs-CZ"/>
        </w:rPr>
        <w:tab/>
      </w:r>
      <w:r w:rsidRPr="00382AD9">
        <w:rPr>
          <w:rFonts w:eastAsia="Times New Roman" w:cs="Arial"/>
          <w:lang w:eastAsia="cs-CZ"/>
        </w:rPr>
        <w:tab/>
      </w:r>
      <w:r>
        <w:rPr>
          <w:rFonts w:eastAsia="Times New Roman" w:cs="Arial"/>
          <w:lang w:eastAsia="cs-CZ"/>
        </w:rPr>
        <w:t>Ing</w:t>
      </w:r>
      <w:r w:rsidRPr="00382AD9">
        <w:rPr>
          <w:rFonts w:eastAsia="Times New Roman" w:cs="Arial"/>
          <w:lang w:eastAsia="cs-CZ"/>
        </w:rPr>
        <w:t xml:space="preserve">. Martin Mareš, </w:t>
      </w:r>
      <w:proofErr w:type="spellStart"/>
      <w:r w:rsidRPr="00382AD9">
        <w:rPr>
          <w:rFonts w:eastAsia="Times New Roman" w:cs="Arial"/>
          <w:lang w:eastAsia="cs-CZ"/>
        </w:rPr>
        <w:t>DiS</w:t>
      </w:r>
      <w:proofErr w:type="spellEnd"/>
      <w:r w:rsidRPr="00382AD9">
        <w:rPr>
          <w:rFonts w:eastAsia="Times New Roman" w:cs="Arial"/>
          <w:lang w:eastAsia="cs-CZ"/>
        </w:rPr>
        <w:t xml:space="preserve">. </w:t>
      </w:r>
    </w:p>
    <w:p w:rsidR="002D613A" w:rsidRPr="00382AD9" w:rsidRDefault="002D613A" w:rsidP="002D613A">
      <w:pPr>
        <w:jc w:val="both"/>
        <w:rPr>
          <w:rFonts w:eastAsia="Times New Roman" w:cs="Arial"/>
          <w:lang w:eastAsia="cs-CZ"/>
        </w:rPr>
      </w:pPr>
      <w:r w:rsidRPr="00382AD9">
        <w:rPr>
          <w:rFonts w:eastAsia="Times New Roman" w:cs="Arial"/>
          <w:lang w:eastAsia="cs-CZ"/>
        </w:rPr>
        <w:t>Funkce:</w:t>
      </w:r>
      <w:r w:rsidRPr="00382AD9">
        <w:rPr>
          <w:rFonts w:eastAsia="Times New Roman" w:cs="Arial"/>
          <w:lang w:eastAsia="cs-CZ"/>
        </w:rPr>
        <w:tab/>
      </w:r>
      <w:r w:rsidRPr="00382AD9">
        <w:rPr>
          <w:rFonts w:eastAsia="Times New Roman" w:cs="Arial"/>
          <w:lang w:eastAsia="cs-CZ"/>
        </w:rPr>
        <w:tab/>
      </w:r>
      <w:r w:rsidRPr="00382AD9">
        <w:rPr>
          <w:rFonts w:eastAsia="Times New Roman" w:cs="Arial"/>
          <w:lang w:eastAsia="cs-CZ"/>
        </w:rPr>
        <w:tab/>
        <w:t>vedoucí oddělení státní správy ve vodním hospodářství</w:t>
      </w:r>
    </w:p>
    <w:p w:rsidR="002D613A" w:rsidRPr="00382AD9" w:rsidRDefault="002D613A" w:rsidP="002D613A">
      <w:pPr>
        <w:ind w:left="2127" w:hanging="2127"/>
        <w:jc w:val="both"/>
        <w:rPr>
          <w:rFonts w:eastAsia="Times New Roman" w:cs="Arial"/>
          <w:lang w:eastAsia="cs-CZ"/>
        </w:rPr>
      </w:pPr>
      <w:r w:rsidRPr="00382AD9">
        <w:rPr>
          <w:rFonts w:eastAsia="Times New Roman" w:cs="Arial"/>
          <w:lang w:eastAsia="cs-CZ"/>
        </w:rPr>
        <w:t>Útvar:</w:t>
      </w:r>
      <w:r w:rsidRPr="00382AD9">
        <w:rPr>
          <w:rFonts w:eastAsia="Times New Roman" w:cs="Arial"/>
          <w:lang w:eastAsia="cs-CZ"/>
        </w:rPr>
        <w:tab/>
      </w:r>
      <w:r w:rsidRPr="00382AD9">
        <w:rPr>
          <w:rFonts w:eastAsia="Times New Roman" w:cs="Arial"/>
          <w:lang w:eastAsia="cs-CZ"/>
        </w:rPr>
        <w:tab/>
        <w:t>odbor státní správy ve vodním hospodářství a správy povodí</w:t>
      </w:r>
    </w:p>
    <w:p w:rsidR="002D613A" w:rsidRPr="00382AD9" w:rsidRDefault="002D613A" w:rsidP="002D613A">
      <w:pPr>
        <w:jc w:val="both"/>
        <w:rPr>
          <w:rFonts w:eastAsia="Times New Roman" w:cs="Arial"/>
          <w:lang w:eastAsia="cs-CZ"/>
        </w:rPr>
      </w:pPr>
      <w:r w:rsidRPr="00382AD9">
        <w:rPr>
          <w:rFonts w:eastAsia="Times New Roman" w:cs="Arial"/>
          <w:lang w:eastAsia="cs-CZ"/>
        </w:rPr>
        <w:t>Telefon:</w:t>
      </w:r>
      <w:r w:rsidRPr="00382AD9">
        <w:rPr>
          <w:rFonts w:eastAsia="Times New Roman" w:cs="Arial"/>
          <w:lang w:eastAsia="cs-CZ"/>
        </w:rPr>
        <w:tab/>
      </w:r>
      <w:r w:rsidRPr="00382AD9">
        <w:rPr>
          <w:rFonts w:eastAsia="Times New Roman" w:cs="Arial"/>
          <w:lang w:eastAsia="cs-CZ"/>
        </w:rPr>
        <w:tab/>
      </w:r>
      <w:r w:rsidRPr="00382AD9">
        <w:rPr>
          <w:rFonts w:eastAsia="Times New Roman" w:cs="Arial"/>
          <w:lang w:eastAsia="cs-CZ"/>
        </w:rPr>
        <w:tab/>
        <w:t>221 812 319</w:t>
      </w:r>
    </w:p>
    <w:p w:rsidR="002D613A" w:rsidRPr="00382AD9" w:rsidRDefault="002D613A" w:rsidP="002D613A">
      <w:pPr>
        <w:jc w:val="both"/>
        <w:rPr>
          <w:rFonts w:eastAsia="Times New Roman" w:cs="Arial"/>
          <w:lang w:eastAsia="cs-CZ"/>
        </w:rPr>
      </w:pPr>
      <w:r w:rsidRPr="00382AD9">
        <w:rPr>
          <w:rFonts w:eastAsia="Times New Roman" w:cs="Arial"/>
          <w:lang w:eastAsia="cs-CZ"/>
        </w:rPr>
        <w:t>E-mail:</w:t>
      </w:r>
      <w:r w:rsidRPr="00382AD9">
        <w:rPr>
          <w:rFonts w:eastAsia="Times New Roman" w:cs="Arial"/>
          <w:lang w:eastAsia="cs-CZ"/>
        </w:rPr>
        <w:tab/>
      </w:r>
      <w:r w:rsidRPr="00382AD9">
        <w:rPr>
          <w:rFonts w:eastAsia="Times New Roman" w:cs="Arial"/>
          <w:lang w:eastAsia="cs-CZ"/>
        </w:rPr>
        <w:tab/>
      </w:r>
      <w:r w:rsidRPr="00382AD9">
        <w:rPr>
          <w:rFonts w:eastAsia="Times New Roman" w:cs="Arial"/>
          <w:lang w:eastAsia="cs-CZ"/>
        </w:rPr>
        <w:tab/>
      </w:r>
      <w:r>
        <w:rPr>
          <w:rFonts w:eastAsia="Times New Roman" w:cs="Arial"/>
          <w:lang w:eastAsia="cs-CZ"/>
        </w:rPr>
        <w:tab/>
      </w:r>
      <w:hyperlink r:id="rId9" w:history="1">
        <w:r w:rsidRPr="00382AD9">
          <w:rPr>
            <w:rStyle w:val="Hypertextovodkaz"/>
            <w:rFonts w:eastAsia="Times New Roman" w:cs="Arial"/>
            <w:lang w:eastAsia="cs-CZ"/>
          </w:rPr>
          <w:t>martin.mares@mze.cz</w:t>
        </w:r>
      </w:hyperlink>
    </w:p>
    <w:p w:rsidR="00646888" w:rsidRDefault="00646888" w:rsidP="004A2155">
      <w:pPr>
        <w:rPr>
          <w:rFonts w:cs="Arial"/>
        </w:rPr>
      </w:pPr>
    </w:p>
    <w:p w:rsidR="008F4C06" w:rsidRDefault="008F4C06" w:rsidP="004A2155">
      <w:pPr>
        <w:rPr>
          <w:rFonts w:cs="Arial"/>
        </w:rPr>
      </w:pPr>
    </w:p>
    <w:p w:rsidR="008F4C06" w:rsidRDefault="008F4C06" w:rsidP="004A2155">
      <w:pPr>
        <w:rPr>
          <w:rFonts w:cs="Arial"/>
        </w:rPr>
      </w:pPr>
    </w:p>
    <w:p w:rsidR="008F4C06" w:rsidRPr="000B4A8D" w:rsidRDefault="008F4C06" w:rsidP="008F4C06">
      <w:pPr>
        <w:spacing w:before="60" w:after="60"/>
        <w:jc w:val="both"/>
        <w:rPr>
          <w:rFonts w:cs="Arial"/>
          <w:b/>
          <w:spacing w:val="-3"/>
          <w:u w:val="single"/>
        </w:rPr>
      </w:pPr>
      <w:r w:rsidRPr="000B4A8D">
        <w:rPr>
          <w:rFonts w:cs="Arial"/>
          <w:b/>
          <w:spacing w:val="-3"/>
          <w:u w:val="single"/>
        </w:rPr>
        <w:lastRenderedPageBreak/>
        <w:t>Zhodnocení souladu navrhované právní úpravy s ústavním pořádkem České republiky, s mezinárodními smlouvami a s předpisy Evropské unie, judikaturou soudních orgánů Evropské unie a obecnými právními zásadami Evropské unie.</w:t>
      </w:r>
    </w:p>
    <w:p w:rsidR="008F4C06" w:rsidRPr="006F6754" w:rsidRDefault="008F4C06" w:rsidP="008F4C06">
      <w:pPr>
        <w:spacing w:before="240" w:after="60"/>
        <w:jc w:val="both"/>
        <w:rPr>
          <w:rFonts w:cs="Arial"/>
          <w:spacing w:val="-3"/>
        </w:rPr>
      </w:pPr>
      <w:r w:rsidRPr="006F6754">
        <w:rPr>
          <w:rFonts w:cs="Arial"/>
          <w:spacing w:val="-3"/>
        </w:rPr>
        <w:t>Navrhovaná právní úprava odpovídá ústavnímu pořádku České republiky</w:t>
      </w:r>
      <w:r>
        <w:rPr>
          <w:rFonts w:cs="Arial"/>
          <w:spacing w:val="-3"/>
        </w:rPr>
        <w:t xml:space="preserve"> a vydává se v souladu se zmocňovacím ustanovením ve vodním zákoně.</w:t>
      </w:r>
    </w:p>
    <w:p w:rsidR="008F4C06" w:rsidRPr="006F6754" w:rsidRDefault="008F4C06" w:rsidP="008F4C06">
      <w:pPr>
        <w:spacing w:before="120" w:after="60"/>
        <w:jc w:val="both"/>
        <w:rPr>
          <w:rFonts w:cs="Arial"/>
          <w:spacing w:val="-3"/>
        </w:rPr>
      </w:pPr>
      <w:r w:rsidRPr="006F6754">
        <w:rPr>
          <w:rFonts w:cs="Arial"/>
          <w:spacing w:val="-3"/>
        </w:rPr>
        <w:t>Navrhovaná nov</w:t>
      </w:r>
      <w:r>
        <w:rPr>
          <w:rFonts w:cs="Arial"/>
          <w:spacing w:val="-3"/>
        </w:rPr>
        <w:t>elizace vyhlášky č. 183/2018</w:t>
      </w:r>
      <w:r w:rsidRPr="006F6754">
        <w:rPr>
          <w:rFonts w:cs="Arial"/>
          <w:spacing w:val="-3"/>
        </w:rPr>
        <w:t xml:space="preserve"> Sb. nesouvisí s žádnými právními akty Evropské unie.</w:t>
      </w:r>
    </w:p>
    <w:p w:rsidR="008F4C06" w:rsidRPr="006F6754" w:rsidRDefault="008F4C06" w:rsidP="008F4C06">
      <w:pPr>
        <w:spacing w:after="60"/>
        <w:jc w:val="both"/>
        <w:rPr>
          <w:rFonts w:cs="Arial"/>
          <w:spacing w:val="-3"/>
        </w:rPr>
      </w:pPr>
      <w:r w:rsidRPr="006F6754">
        <w:rPr>
          <w:rFonts w:cs="Arial"/>
          <w:spacing w:val="-3"/>
        </w:rPr>
        <w:t>Navrhovaná novela vyhlášky je tedy s předpisy Evropské unie a s právem Evropské unie plně slučitelná.</w:t>
      </w:r>
    </w:p>
    <w:p w:rsidR="008F4C06" w:rsidRPr="006F6754" w:rsidRDefault="008F4C06" w:rsidP="008F4C06">
      <w:pPr>
        <w:spacing w:before="120" w:after="60"/>
        <w:jc w:val="both"/>
        <w:rPr>
          <w:rFonts w:cs="Arial"/>
          <w:spacing w:val="-3"/>
        </w:rPr>
      </w:pPr>
      <w:r w:rsidRPr="006F6754">
        <w:rPr>
          <w:rFonts w:cs="Arial"/>
          <w:spacing w:val="-3"/>
        </w:rPr>
        <w:t>Návrh není v rozporu s judikaturou soudních orgánů Evropské unie a je v souladu s obecnými zásadami práva Evropské unie.</w:t>
      </w:r>
    </w:p>
    <w:p w:rsidR="008F4C06" w:rsidRDefault="008F4C06" w:rsidP="004A2155">
      <w:pPr>
        <w:rPr>
          <w:rFonts w:cs="Arial"/>
        </w:rPr>
      </w:pPr>
    </w:p>
    <w:p w:rsidR="008F4C06" w:rsidRPr="000B4A8D" w:rsidRDefault="008F4C06" w:rsidP="008F4C06">
      <w:pPr>
        <w:pStyle w:val="Bezmezer"/>
        <w:spacing w:before="240" w:after="60" w:line="276" w:lineRule="auto"/>
        <w:jc w:val="both"/>
        <w:rPr>
          <w:rFonts w:ascii="Arial" w:hAnsi="Arial" w:cs="Arial"/>
          <w:b/>
          <w:spacing w:val="-3"/>
          <w:u w:val="single"/>
        </w:rPr>
      </w:pPr>
      <w:r w:rsidRPr="000B4A8D">
        <w:rPr>
          <w:rFonts w:ascii="Arial" w:hAnsi="Arial" w:cs="Arial"/>
          <w:b/>
          <w:spacing w:val="-3"/>
          <w:u w:val="single"/>
        </w:rPr>
        <w:t>Předpokládaný hospodářský a finanční dopad navrhované právní úpravy na státní rozpočet, na ostatní veřejné rozpočty a na podnikatelské prostředí České republiky, sociální dopady navrhované právní úpravy a její dopady na životní prostředí.</w:t>
      </w:r>
    </w:p>
    <w:p w:rsidR="008F4C06" w:rsidRPr="006F6754" w:rsidRDefault="008F4C06" w:rsidP="008F4C06">
      <w:pPr>
        <w:pStyle w:val="Bezmezer"/>
        <w:spacing w:before="120" w:line="276" w:lineRule="auto"/>
        <w:jc w:val="both"/>
        <w:rPr>
          <w:rFonts w:ascii="Arial" w:hAnsi="Arial" w:cs="Arial"/>
          <w:spacing w:val="-3"/>
        </w:rPr>
      </w:pPr>
      <w:r w:rsidRPr="006F6754">
        <w:rPr>
          <w:rFonts w:ascii="Arial" w:hAnsi="Arial" w:cs="Arial"/>
          <w:spacing w:val="-3"/>
        </w:rPr>
        <w:t>Hodnocení hospodářských a finančních dopadů návrhu vyhlášky je uvedeno v předchozích částech odůvodnění návrhu novely vyhlášky.</w:t>
      </w:r>
    </w:p>
    <w:p w:rsidR="008F4C06" w:rsidRPr="006F6754" w:rsidRDefault="008F4C06" w:rsidP="008F4C06">
      <w:pPr>
        <w:pStyle w:val="Bezmezer"/>
        <w:spacing w:line="276" w:lineRule="auto"/>
        <w:jc w:val="both"/>
        <w:rPr>
          <w:rFonts w:ascii="Arial" w:hAnsi="Arial" w:cs="Arial"/>
          <w:spacing w:val="-3"/>
        </w:rPr>
      </w:pPr>
      <w:r>
        <w:rPr>
          <w:rFonts w:ascii="Arial" w:hAnsi="Arial" w:cs="Arial"/>
          <w:spacing w:val="-3"/>
        </w:rPr>
        <w:t>N</w:t>
      </w:r>
      <w:r w:rsidRPr="006F6754">
        <w:rPr>
          <w:rFonts w:ascii="Arial" w:hAnsi="Arial" w:cs="Arial"/>
          <w:spacing w:val="-3"/>
        </w:rPr>
        <w:t xml:space="preserve">ávrh novely vyhlášky </w:t>
      </w:r>
      <w:r>
        <w:rPr>
          <w:rFonts w:ascii="Arial" w:hAnsi="Arial" w:cs="Arial"/>
          <w:spacing w:val="-3"/>
        </w:rPr>
        <w:t>nemá</w:t>
      </w:r>
      <w:r w:rsidRPr="006F6754">
        <w:rPr>
          <w:rFonts w:ascii="Arial" w:hAnsi="Arial" w:cs="Arial"/>
          <w:spacing w:val="-3"/>
        </w:rPr>
        <w:t xml:space="preserve"> dopady</w:t>
      </w:r>
      <w:r>
        <w:rPr>
          <w:rFonts w:ascii="Arial" w:hAnsi="Arial" w:cs="Arial"/>
          <w:spacing w:val="-3"/>
        </w:rPr>
        <w:t xml:space="preserve"> na státní rozpočet, ostatní veřejné rozpočty, dopady </w:t>
      </w:r>
      <w:r w:rsidRPr="006F6754">
        <w:rPr>
          <w:rFonts w:ascii="Arial" w:hAnsi="Arial" w:cs="Arial"/>
          <w:spacing w:val="-3"/>
        </w:rPr>
        <w:t>v</w:t>
      </w:r>
      <w:r>
        <w:rPr>
          <w:rFonts w:ascii="Arial" w:hAnsi="Arial" w:cs="Arial"/>
          <w:spacing w:val="-3"/>
        </w:rPr>
        <w:t> </w:t>
      </w:r>
      <w:r w:rsidRPr="006F6754">
        <w:rPr>
          <w:rFonts w:ascii="Arial" w:hAnsi="Arial" w:cs="Arial"/>
          <w:spacing w:val="-3"/>
        </w:rPr>
        <w:t>sociální oblasti</w:t>
      </w:r>
      <w:r>
        <w:rPr>
          <w:rFonts w:ascii="Arial" w:hAnsi="Arial" w:cs="Arial"/>
          <w:spacing w:val="-3"/>
        </w:rPr>
        <w:t xml:space="preserve">, ve vztahu k zákazu diskriminace. Nemá rovněž žádné dopady na bezpečnost a obranu státu.  </w:t>
      </w:r>
    </w:p>
    <w:p w:rsidR="008F4C06" w:rsidRPr="006F6754" w:rsidRDefault="008F4C06" w:rsidP="008F4C06">
      <w:pPr>
        <w:pStyle w:val="Bezmezer"/>
        <w:spacing w:line="276" w:lineRule="auto"/>
        <w:jc w:val="both"/>
        <w:rPr>
          <w:rFonts w:ascii="Arial" w:hAnsi="Arial" w:cs="Arial"/>
          <w:spacing w:val="-3"/>
        </w:rPr>
      </w:pPr>
      <w:r w:rsidRPr="006F6754">
        <w:rPr>
          <w:rFonts w:ascii="Arial" w:hAnsi="Arial" w:cs="Arial"/>
          <w:spacing w:val="-3"/>
        </w:rPr>
        <w:t xml:space="preserve">Navrhovaná právní úprava nepředpokládá </w:t>
      </w:r>
      <w:r>
        <w:rPr>
          <w:rFonts w:ascii="Arial" w:hAnsi="Arial" w:cs="Arial"/>
          <w:spacing w:val="-3"/>
        </w:rPr>
        <w:t xml:space="preserve">ani nepřináší </w:t>
      </w:r>
      <w:r w:rsidRPr="006F6754">
        <w:rPr>
          <w:rFonts w:ascii="Arial" w:hAnsi="Arial" w:cs="Arial"/>
          <w:spacing w:val="-3"/>
        </w:rPr>
        <w:t>žádné negativní dopady na podnikatelské prostředí.</w:t>
      </w:r>
    </w:p>
    <w:p w:rsidR="008F4C06" w:rsidRPr="006F6754" w:rsidRDefault="008F4C06" w:rsidP="008F4C06">
      <w:pPr>
        <w:jc w:val="both"/>
        <w:rPr>
          <w:rFonts w:cs="Arial"/>
        </w:rPr>
      </w:pPr>
      <w:r w:rsidRPr="006F6754">
        <w:rPr>
          <w:rFonts w:cs="Arial"/>
        </w:rPr>
        <w:t>Z navrhované právní úpravy nevyplývají žádné negativní dopady na životní prostředí.</w:t>
      </w:r>
      <w:r>
        <w:rPr>
          <w:rFonts w:cs="Arial"/>
        </w:rPr>
        <w:t xml:space="preserve"> </w:t>
      </w:r>
    </w:p>
    <w:p w:rsidR="00646888" w:rsidRDefault="00646888" w:rsidP="004A2155">
      <w:pPr>
        <w:rPr>
          <w:rFonts w:cs="Arial"/>
        </w:rPr>
      </w:pPr>
    </w:p>
    <w:p w:rsidR="008F4C06" w:rsidRPr="000B4A8D" w:rsidRDefault="008F4C06" w:rsidP="008F4C06">
      <w:pPr>
        <w:jc w:val="both"/>
        <w:rPr>
          <w:rFonts w:cs="Arial"/>
          <w:b/>
          <w:u w:val="single"/>
        </w:rPr>
      </w:pPr>
      <w:r w:rsidRPr="000B4A8D">
        <w:rPr>
          <w:rFonts w:cs="Arial"/>
          <w:b/>
          <w:spacing w:val="-3"/>
          <w:u w:val="single"/>
        </w:rPr>
        <w:t xml:space="preserve">Zhodnocení současného stavu a dopadů navrhovaného řešení ve vztahu k zákazu diskriminace </w:t>
      </w:r>
      <w:r w:rsidRPr="000B4A8D">
        <w:rPr>
          <w:rFonts w:cs="Arial"/>
          <w:b/>
          <w:u w:val="single"/>
        </w:rPr>
        <w:t>a ve vztahu k rovnosti mužů a žen</w:t>
      </w:r>
    </w:p>
    <w:p w:rsidR="00CD0F37" w:rsidRDefault="00CD0F37" w:rsidP="008F4C06">
      <w:pPr>
        <w:jc w:val="both"/>
        <w:rPr>
          <w:rFonts w:cs="Arial"/>
          <w:spacing w:val="-3"/>
        </w:rPr>
      </w:pPr>
    </w:p>
    <w:p w:rsidR="008F4C06" w:rsidRDefault="008F4C06" w:rsidP="008F4C06">
      <w:pPr>
        <w:jc w:val="both"/>
        <w:rPr>
          <w:rFonts w:cs="Arial"/>
          <w:spacing w:val="-3"/>
        </w:rPr>
      </w:pPr>
      <w:r w:rsidRPr="000B4A8D">
        <w:rPr>
          <w:rFonts w:cs="Arial"/>
          <w:spacing w:val="-3"/>
        </w:rPr>
        <w:t>Návrh vyhlášky neobsahuje žádné ustanovení, díky němuž by současný stav nebo dopady návrhu byly v rozporu se zákazem diskriminace. Návrh se netýká problematiky rovnosti mužů a </w:t>
      </w:r>
      <w:r>
        <w:rPr>
          <w:rFonts w:cs="Arial"/>
          <w:spacing w:val="-3"/>
        </w:rPr>
        <w:t>žen.</w:t>
      </w:r>
    </w:p>
    <w:p w:rsidR="008F4C06" w:rsidRPr="000B4A8D" w:rsidRDefault="008F4C06" w:rsidP="008F4C06">
      <w:pPr>
        <w:jc w:val="both"/>
        <w:rPr>
          <w:rFonts w:cs="Arial"/>
          <w:spacing w:val="-3"/>
        </w:rPr>
      </w:pPr>
    </w:p>
    <w:p w:rsidR="008F4C06" w:rsidRPr="000B4A8D" w:rsidRDefault="008F4C06" w:rsidP="008F4C06">
      <w:pPr>
        <w:jc w:val="both"/>
        <w:rPr>
          <w:rFonts w:cs="Arial"/>
          <w:b/>
          <w:u w:val="single"/>
        </w:rPr>
      </w:pPr>
      <w:r w:rsidRPr="000B4A8D">
        <w:rPr>
          <w:rFonts w:cs="Arial"/>
          <w:b/>
          <w:u w:val="single"/>
        </w:rPr>
        <w:t>Zhodnocení dopadů navrhovaného řešení ve vztahu k oc</w:t>
      </w:r>
      <w:r>
        <w:rPr>
          <w:rFonts w:cs="Arial"/>
          <w:b/>
          <w:u w:val="single"/>
        </w:rPr>
        <w:t>hraně soukromí a osobních údajů</w:t>
      </w:r>
    </w:p>
    <w:p w:rsidR="00CD0F37" w:rsidRDefault="00CD0F37" w:rsidP="008F4C06">
      <w:pPr>
        <w:rPr>
          <w:rFonts w:cs="Arial"/>
        </w:rPr>
      </w:pPr>
    </w:p>
    <w:p w:rsidR="008F4C06" w:rsidRDefault="008F4C06" w:rsidP="008F4C06">
      <w:pPr>
        <w:rPr>
          <w:rFonts w:cs="Arial"/>
        </w:rPr>
      </w:pPr>
      <w:r w:rsidRPr="000B4A8D">
        <w:rPr>
          <w:rFonts w:cs="Arial"/>
        </w:rPr>
        <w:t>Navrhovaná právní úprava nemá vliv na och</w:t>
      </w:r>
      <w:r>
        <w:rPr>
          <w:rFonts w:cs="Arial"/>
        </w:rPr>
        <w:t>ranu soukromí a osobních údajů.</w:t>
      </w:r>
    </w:p>
    <w:p w:rsidR="008F4C06" w:rsidRPr="000B4A8D" w:rsidRDefault="008F4C06" w:rsidP="008F4C06">
      <w:pPr>
        <w:rPr>
          <w:rFonts w:cs="Arial"/>
        </w:rPr>
      </w:pPr>
    </w:p>
    <w:p w:rsidR="008F4C06" w:rsidRPr="000B4A8D" w:rsidRDefault="008F4C06" w:rsidP="008F4C06">
      <w:pPr>
        <w:jc w:val="both"/>
        <w:rPr>
          <w:rFonts w:cs="Arial"/>
          <w:b/>
          <w:spacing w:val="-3"/>
          <w:u w:val="single"/>
        </w:rPr>
      </w:pPr>
      <w:r>
        <w:rPr>
          <w:rFonts w:cs="Arial"/>
          <w:b/>
          <w:spacing w:val="-3"/>
          <w:u w:val="single"/>
        </w:rPr>
        <w:t>Zhodnocení korupčních rizik</w:t>
      </w:r>
    </w:p>
    <w:p w:rsidR="00CD0F37" w:rsidRDefault="00CD0F37" w:rsidP="008F4C06">
      <w:pPr>
        <w:jc w:val="both"/>
        <w:rPr>
          <w:rFonts w:cs="Arial"/>
          <w:spacing w:val="-3"/>
        </w:rPr>
      </w:pPr>
    </w:p>
    <w:p w:rsidR="008F4C06" w:rsidRDefault="008F4C06" w:rsidP="008F4C06">
      <w:pPr>
        <w:jc w:val="both"/>
        <w:rPr>
          <w:rFonts w:cs="Arial"/>
          <w:spacing w:val="-3"/>
        </w:rPr>
      </w:pPr>
      <w:r w:rsidRPr="000B4A8D">
        <w:rPr>
          <w:rFonts w:cs="Arial"/>
          <w:spacing w:val="-3"/>
        </w:rPr>
        <w:t xml:space="preserve">Návrh vyhlášky neobsahuje ustanovení, které by se mohlo stát předmětem korupčního </w:t>
      </w:r>
      <w:r>
        <w:rPr>
          <w:rFonts w:cs="Arial"/>
          <w:spacing w:val="-3"/>
        </w:rPr>
        <w:t>rizika.</w:t>
      </w:r>
    </w:p>
    <w:p w:rsidR="008F4C06" w:rsidRPr="000B4A8D" w:rsidRDefault="008F4C06" w:rsidP="008F4C06">
      <w:pPr>
        <w:jc w:val="both"/>
        <w:rPr>
          <w:rFonts w:cs="Arial"/>
          <w:spacing w:val="-3"/>
        </w:rPr>
      </w:pPr>
    </w:p>
    <w:p w:rsidR="008F4C06" w:rsidRPr="000B4A8D" w:rsidRDefault="008F4C06" w:rsidP="008F4C06">
      <w:pPr>
        <w:pStyle w:val="Zkladntext"/>
        <w:tabs>
          <w:tab w:val="left" w:pos="0"/>
        </w:tabs>
        <w:spacing w:line="276" w:lineRule="auto"/>
        <w:rPr>
          <w:rFonts w:ascii="Arial" w:hAnsi="Arial" w:cs="Arial"/>
          <w:b/>
          <w:u w:val="single"/>
        </w:rPr>
      </w:pPr>
      <w:r w:rsidRPr="000B4A8D">
        <w:rPr>
          <w:rFonts w:ascii="Arial" w:hAnsi="Arial" w:cs="Arial"/>
          <w:b/>
          <w:u w:val="single"/>
        </w:rPr>
        <w:t>Zhodnocení dopadů na bezpečnost nebo obranu státu</w:t>
      </w:r>
    </w:p>
    <w:p w:rsidR="008F4C06" w:rsidRDefault="008F4C06" w:rsidP="008F4C06">
      <w:pPr>
        <w:jc w:val="both"/>
        <w:rPr>
          <w:rFonts w:cs="Arial"/>
        </w:rPr>
      </w:pPr>
      <w:r w:rsidRPr="000B4A8D">
        <w:rPr>
          <w:rFonts w:cs="Arial"/>
        </w:rPr>
        <w:t xml:space="preserve">Návrh nemá negativní dopad na bezpečnost nebo obranu státu. </w:t>
      </w:r>
    </w:p>
    <w:p w:rsidR="008F4C06" w:rsidRDefault="008F4C06" w:rsidP="008F4C06">
      <w:pPr>
        <w:jc w:val="both"/>
        <w:rPr>
          <w:rFonts w:cs="Arial"/>
        </w:rPr>
      </w:pPr>
    </w:p>
    <w:p w:rsidR="008F4C06" w:rsidRPr="000B4A8D" w:rsidRDefault="008F4C06" w:rsidP="008F4C06">
      <w:pPr>
        <w:jc w:val="both"/>
        <w:rPr>
          <w:rFonts w:cs="Arial"/>
          <w:strike/>
        </w:rPr>
      </w:pPr>
    </w:p>
    <w:p w:rsidR="00646888" w:rsidRDefault="00646888" w:rsidP="004A2155">
      <w:pPr>
        <w:rPr>
          <w:rFonts w:cs="Arial"/>
        </w:rPr>
      </w:pPr>
    </w:p>
    <w:p w:rsidR="00823979" w:rsidRPr="006173DD" w:rsidRDefault="00823979" w:rsidP="00CD0F37">
      <w:pPr>
        <w:keepNext/>
        <w:tabs>
          <w:tab w:val="left" w:pos="540"/>
        </w:tabs>
        <w:spacing w:before="60" w:after="60"/>
        <w:ind w:left="540" w:hanging="540"/>
        <w:jc w:val="both"/>
        <w:rPr>
          <w:rFonts w:cs="Arial"/>
          <w:b/>
          <w:spacing w:val="-3"/>
          <w:sz w:val="28"/>
          <w:szCs w:val="28"/>
          <w:u w:val="single"/>
        </w:rPr>
      </w:pPr>
      <w:r w:rsidRPr="006173DD">
        <w:rPr>
          <w:rFonts w:cs="Arial"/>
          <w:b/>
          <w:spacing w:val="-3"/>
          <w:sz w:val="28"/>
          <w:szCs w:val="28"/>
          <w:u w:val="single"/>
        </w:rPr>
        <w:lastRenderedPageBreak/>
        <w:t>I</w:t>
      </w:r>
      <w:r>
        <w:rPr>
          <w:rFonts w:cs="Arial"/>
          <w:b/>
          <w:spacing w:val="-3"/>
          <w:sz w:val="28"/>
          <w:szCs w:val="28"/>
          <w:u w:val="single"/>
        </w:rPr>
        <w:t>I</w:t>
      </w:r>
      <w:r w:rsidRPr="006173DD">
        <w:rPr>
          <w:rFonts w:cs="Arial"/>
          <w:b/>
          <w:spacing w:val="-3"/>
          <w:sz w:val="28"/>
          <w:szCs w:val="28"/>
          <w:u w:val="single"/>
        </w:rPr>
        <w:t xml:space="preserve">. </w:t>
      </w:r>
      <w:r>
        <w:rPr>
          <w:rFonts w:cs="Arial"/>
          <w:b/>
          <w:spacing w:val="-3"/>
          <w:sz w:val="28"/>
          <w:szCs w:val="28"/>
          <w:u w:val="single"/>
        </w:rPr>
        <w:t>Zvláštní</w:t>
      </w:r>
      <w:r w:rsidRPr="006173DD">
        <w:rPr>
          <w:rFonts w:cs="Arial"/>
          <w:b/>
          <w:spacing w:val="-3"/>
          <w:sz w:val="28"/>
          <w:szCs w:val="28"/>
          <w:u w:val="single"/>
        </w:rPr>
        <w:t xml:space="preserve"> část</w:t>
      </w:r>
    </w:p>
    <w:p w:rsidR="00CD674B" w:rsidRPr="00D35D88" w:rsidRDefault="00CD674B" w:rsidP="00CD0F37">
      <w:pPr>
        <w:pStyle w:val="Nzev"/>
        <w:keepNext/>
        <w:numPr>
          <w:ilvl w:val="0"/>
          <w:numId w:val="0"/>
        </w:numPr>
        <w:ind w:left="1077"/>
      </w:pPr>
    </w:p>
    <w:p w:rsidR="00CD674B" w:rsidRDefault="00CD674B" w:rsidP="00CD0F37">
      <w:pPr>
        <w:keepNext/>
        <w:ind w:firstLine="357"/>
        <w:rPr>
          <w:b/>
        </w:rPr>
      </w:pPr>
      <w:r>
        <w:rPr>
          <w:b/>
        </w:rPr>
        <w:t xml:space="preserve">K čl. I bodům 1 až </w:t>
      </w:r>
      <w:r w:rsidR="000E3105">
        <w:rPr>
          <w:b/>
        </w:rPr>
        <w:t>5</w:t>
      </w:r>
      <w:r>
        <w:rPr>
          <w:b/>
        </w:rPr>
        <w:t xml:space="preserve"> (Příloze č. 11)</w:t>
      </w:r>
    </w:p>
    <w:p w:rsidR="00C84BE3" w:rsidRDefault="00C84BE3" w:rsidP="00CD0F37">
      <w:pPr>
        <w:keepNext/>
        <w:rPr>
          <w:b/>
        </w:rPr>
      </w:pPr>
    </w:p>
    <w:p w:rsidR="000E3105" w:rsidRDefault="00CD674B" w:rsidP="00CD0F37">
      <w:pPr>
        <w:keepNext/>
        <w:tabs>
          <w:tab w:val="right" w:pos="-1985"/>
          <w:tab w:val="left" w:pos="-1843"/>
          <w:tab w:val="center" w:pos="7371"/>
          <w:tab w:val="right" w:pos="9072"/>
        </w:tabs>
        <w:ind w:left="357"/>
        <w:jc w:val="both"/>
      </w:pPr>
      <w:r>
        <w:t xml:space="preserve">V návaznosti na výše zmíněnou novelu vodního zákona se </w:t>
      </w:r>
      <w:r w:rsidRPr="00440F08">
        <w:t> </w:t>
      </w:r>
      <w:r>
        <w:t xml:space="preserve">v příloze </w:t>
      </w:r>
      <w:r w:rsidRPr="00440F08">
        <w:t>č. 11</w:t>
      </w:r>
      <w:r>
        <w:t xml:space="preserve"> bodě 2 za písmeno h)</w:t>
      </w:r>
      <w:r w:rsidRPr="00440F08">
        <w:t xml:space="preserve"> doplňuje</w:t>
      </w:r>
      <w:r>
        <w:t xml:space="preserve"> nové písmeno i), podle kterého je třeba souhlasu vodoprávního úřadu ke geologickým pracím spojeným se zásahem do pozemku, jejichž cílem je následné využití průzkumného díla na stavbu k </w:t>
      </w:r>
      <w:r w:rsidRPr="001D316B">
        <w:t xml:space="preserve">jímání podzemní vody nebo pro vrty pro využívání energetického potenciálu podzemních vod. </w:t>
      </w:r>
    </w:p>
    <w:p w:rsidR="00CD0F37" w:rsidRPr="00821992" w:rsidRDefault="000E3105" w:rsidP="00821992">
      <w:pPr>
        <w:pStyle w:val="Odstavecseseznamem"/>
        <w:spacing w:before="100" w:beforeAutospacing="1" w:after="100" w:afterAutospacing="1" w:line="240" w:lineRule="atLeast"/>
        <w:ind w:left="360"/>
        <w:jc w:val="both"/>
        <w:rPr>
          <w:rFonts w:eastAsia="Times New Roman" w:cs="Arial"/>
          <w:color w:val="000000"/>
          <w:lang w:eastAsia="cs-CZ"/>
        </w:rPr>
      </w:pPr>
      <w:r>
        <w:t>V bodě 4 se upřesňuje požadavek na stanovisko správce povodí a v bodě 6 se upřesňuje v</w:t>
      </w:r>
      <w:r w:rsidRPr="000E3105">
        <w:rPr>
          <w:rFonts w:cs="Arial"/>
          <w:color w:val="000000"/>
        </w:rPr>
        <w:t>yjádření osoby s odbornou způsobilostí</w:t>
      </w:r>
      <w:r w:rsidRPr="000E3105">
        <w:rPr>
          <w:rFonts w:cs="Arial"/>
          <w:color w:val="000000"/>
          <w:vertAlign w:val="superscript"/>
        </w:rPr>
        <w:t>5)</w:t>
      </w:r>
      <w:r w:rsidR="00821992">
        <w:rPr>
          <w:rFonts w:cs="Arial"/>
          <w:color w:val="000000"/>
          <w:vertAlign w:val="superscript"/>
        </w:rPr>
        <w:t xml:space="preserve"> </w:t>
      </w:r>
      <w:r w:rsidRPr="000E3105">
        <w:rPr>
          <w:rFonts w:cs="Arial"/>
          <w:color w:val="000000"/>
        </w:rPr>
        <w:t xml:space="preserve">v případě udělení souhlasu dle § 17 odst. 1 písm. g) vodního zákona v ochranném pásmu stanoveném podle </w:t>
      </w:r>
      <w:r>
        <w:rPr>
          <w:rFonts w:cs="Arial"/>
          <w:color w:val="000000"/>
        </w:rPr>
        <w:t xml:space="preserve">zákona č. </w:t>
      </w:r>
      <w:r w:rsidRPr="000E3105">
        <w:rPr>
          <w:rFonts w:cs="Arial"/>
          <w:color w:val="000000"/>
        </w:rPr>
        <w:t>164/2001 Sb., o přírodních léčivých zdrojích, zdrojích přírodních minerálních vod, přírodních léčebných lázních a lázeňských místech a o změně některých souvis</w:t>
      </w:r>
      <w:r w:rsidR="00821992">
        <w:rPr>
          <w:rFonts w:cs="Arial"/>
          <w:color w:val="000000"/>
        </w:rPr>
        <w:t>ejících zákonů (lázeňský zákon).</w:t>
      </w:r>
    </w:p>
    <w:p w:rsidR="00CD674B" w:rsidRDefault="00CD674B" w:rsidP="00CD0F37">
      <w:pPr>
        <w:keepNext/>
        <w:tabs>
          <w:tab w:val="right" w:pos="-1985"/>
          <w:tab w:val="left" w:pos="-1843"/>
          <w:tab w:val="center" w:pos="7371"/>
          <w:tab w:val="right" w:pos="9072"/>
        </w:tabs>
        <w:ind w:left="357"/>
        <w:jc w:val="both"/>
        <w:rPr>
          <w:rFonts w:eastAsiaTheme="minorEastAsia" w:cs="Arial"/>
          <w:lang w:eastAsia="ar-SA"/>
        </w:rPr>
      </w:pPr>
      <w:r w:rsidRPr="001D316B">
        <w:t>Nově se stanoví, že</w:t>
      </w:r>
      <w:r>
        <w:t xml:space="preserve"> povinnou přílohou žádosti o souhlas</w:t>
      </w:r>
      <w:r w:rsidRPr="001D316B">
        <w:t xml:space="preserve"> podle § 17 odst. 1 písm. i) vodního zákona</w:t>
      </w:r>
      <w:r>
        <w:t>,</w:t>
      </w:r>
      <w:r w:rsidRPr="001D316B">
        <w:t xml:space="preserve"> je p</w:t>
      </w:r>
      <w:r w:rsidRPr="001D316B">
        <w:rPr>
          <w:rFonts w:eastAsiaTheme="minorEastAsia" w:cs="Arial"/>
          <w:bCs/>
          <w:lang w:eastAsia="ar-SA"/>
        </w:rPr>
        <w:t>rojekt geologických prací</w:t>
      </w:r>
      <w:r>
        <w:rPr>
          <w:rFonts w:eastAsiaTheme="minorEastAsia" w:cs="Arial"/>
          <w:bCs/>
          <w:lang w:eastAsia="ar-SA"/>
        </w:rPr>
        <w:t xml:space="preserve"> podle § 6 zákona č. 62/1988 Sb., o</w:t>
      </w:r>
      <w:r w:rsidR="006C310A">
        <w:rPr>
          <w:rFonts w:eastAsiaTheme="minorEastAsia" w:cs="Arial"/>
          <w:bCs/>
          <w:lang w:eastAsia="ar-SA"/>
        </w:rPr>
        <w:t> </w:t>
      </w:r>
      <w:r>
        <w:rPr>
          <w:rFonts w:eastAsiaTheme="minorEastAsia" w:cs="Arial"/>
          <w:bCs/>
          <w:lang w:eastAsia="ar-SA"/>
        </w:rPr>
        <w:t xml:space="preserve">geologických pracích. </w:t>
      </w:r>
      <w:r w:rsidRPr="001D316B">
        <w:rPr>
          <w:rFonts w:eastAsiaTheme="minorEastAsia" w:cs="Arial"/>
          <w:lang w:eastAsia="ar-SA"/>
        </w:rPr>
        <w:t xml:space="preserve"> </w:t>
      </w:r>
      <w:r w:rsidRPr="001D316B">
        <w:rPr>
          <w:rFonts w:eastAsiaTheme="minorEastAsia" w:cs="Arial"/>
          <w:bCs/>
          <w:lang w:eastAsia="ar-SA"/>
        </w:rPr>
        <w:t>Projekt geologických prací musí</w:t>
      </w:r>
      <w:r w:rsidRPr="001D316B">
        <w:rPr>
          <w:rFonts w:eastAsiaTheme="minorEastAsia" w:cs="Arial"/>
          <w:lang w:eastAsia="ar-SA"/>
        </w:rPr>
        <w:t xml:space="preserve"> vedle údajů uvedených v § 5 odst. 1 vyhlášky č. 369/2004 Sb. obsahovat i popis předpokládaných účinků projektovaných geologických prací na okolí. Pro tento účel je nutno projekt doplnit</w:t>
      </w:r>
      <w:r>
        <w:rPr>
          <w:rFonts w:eastAsiaTheme="minorEastAsia" w:cs="Arial"/>
          <w:lang w:eastAsia="ar-SA"/>
        </w:rPr>
        <w:t xml:space="preserve"> o</w:t>
      </w:r>
      <w:r w:rsidRPr="001D316B">
        <w:rPr>
          <w:rFonts w:eastAsiaTheme="minorEastAsia" w:cs="Arial"/>
          <w:lang w:eastAsia="ar-SA"/>
        </w:rPr>
        <w:t xml:space="preserve"> další náležitosti uvedené v bodě 9 písm. a) až g)</w:t>
      </w:r>
      <w:r>
        <w:rPr>
          <w:rFonts w:eastAsiaTheme="minorEastAsia" w:cs="Arial"/>
          <w:lang w:eastAsia="ar-SA"/>
        </w:rPr>
        <w:t xml:space="preserve"> přílohy žádosti o souhlas</w:t>
      </w:r>
      <w:r w:rsidRPr="001D316B">
        <w:rPr>
          <w:rFonts w:eastAsiaTheme="minorEastAsia" w:cs="Arial"/>
          <w:lang w:eastAsia="ar-SA"/>
        </w:rPr>
        <w:t>.</w:t>
      </w:r>
    </w:p>
    <w:p w:rsidR="00CD0F37" w:rsidRDefault="00CD0F37" w:rsidP="00AC75FE">
      <w:pPr>
        <w:tabs>
          <w:tab w:val="right" w:pos="-1985"/>
          <w:tab w:val="left" w:pos="-1843"/>
          <w:tab w:val="center" w:pos="7371"/>
          <w:tab w:val="right" w:pos="9072"/>
        </w:tabs>
        <w:ind w:left="357"/>
        <w:jc w:val="both"/>
        <w:rPr>
          <w:rFonts w:eastAsiaTheme="minorEastAsia" w:cs="Arial"/>
          <w:lang w:eastAsia="ar-SA"/>
        </w:rPr>
      </w:pPr>
    </w:p>
    <w:p w:rsidR="00CD674B" w:rsidRDefault="00CD674B" w:rsidP="00C84BE3">
      <w:pPr>
        <w:tabs>
          <w:tab w:val="right" w:pos="-1985"/>
          <w:tab w:val="left" w:pos="-1843"/>
          <w:tab w:val="center" w:pos="7371"/>
          <w:tab w:val="right" w:pos="9072"/>
        </w:tabs>
        <w:spacing w:line="360" w:lineRule="auto"/>
        <w:ind w:left="357"/>
        <w:jc w:val="both"/>
        <w:rPr>
          <w:rFonts w:eastAsiaTheme="minorEastAsia" w:cs="Arial"/>
          <w:lang w:eastAsia="ar-SA"/>
        </w:rPr>
      </w:pPr>
    </w:p>
    <w:p w:rsidR="00CD674B" w:rsidRDefault="00CD674B" w:rsidP="00C84BE3">
      <w:pPr>
        <w:tabs>
          <w:tab w:val="right" w:pos="-1985"/>
          <w:tab w:val="left" w:pos="-1843"/>
          <w:tab w:val="center" w:pos="7371"/>
          <w:tab w:val="right" w:pos="9072"/>
        </w:tabs>
        <w:spacing w:line="360" w:lineRule="auto"/>
        <w:ind w:left="357"/>
        <w:jc w:val="both"/>
        <w:rPr>
          <w:b/>
        </w:rPr>
      </w:pPr>
      <w:r>
        <w:rPr>
          <w:b/>
        </w:rPr>
        <w:t xml:space="preserve">K čl. II </w:t>
      </w:r>
      <w:r w:rsidR="00AF02E7">
        <w:rPr>
          <w:b/>
        </w:rPr>
        <w:t>–</w:t>
      </w:r>
      <w:r>
        <w:rPr>
          <w:b/>
        </w:rPr>
        <w:t xml:space="preserve"> Účinnost</w:t>
      </w:r>
    </w:p>
    <w:p w:rsidR="00AF02E7" w:rsidRPr="00AF02E7" w:rsidRDefault="00AF02E7" w:rsidP="00C84BE3">
      <w:pPr>
        <w:tabs>
          <w:tab w:val="right" w:pos="-1985"/>
          <w:tab w:val="left" w:pos="-1843"/>
          <w:tab w:val="center" w:pos="7371"/>
          <w:tab w:val="right" w:pos="9072"/>
        </w:tabs>
        <w:spacing w:line="360" w:lineRule="auto"/>
        <w:ind w:left="357"/>
        <w:jc w:val="both"/>
      </w:pPr>
      <w:r w:rsidRPr="00AF02E7">
        <w:t xml:space="preserve">Účinnost se navrhuje </w:t>
      </w:r>
      <w:r w:rsidR="00647901">
        <w:t>patnáctým dnem od jejího vyhlášení.</w:t>
      </w:r>
    </w:p>
    <w:p w:rsidR="00CD674B" w:rsidRPr="00CD674B" w:rsidRDefault="00CD674B" w:rsidP="004A2155">
      <w:pPr>
        <w:rPr>
          <w:rFonts w:cs="Arial"/>
          <w:b/>
          <w:sz w:val="28"/>
          <w:szCs w:val="28"/>
        </w:rPr>
      </w:pPr>
    </w:p>
    <w:p w:rsidR="00646888" w:rsidRDefault="00646888" w:rsidP="004A2155">
      <w:pPr>
        <w:rPr>
          <w:rFonts w:cs="Arial"/>
        </w:rPr>
      </w:pPr>
    </w:p>
    <w:p w:rsidR="00646888" w:rsidRDefault="00646888" w:rsidP="004A2155">
      <w:pPr>
        <w:rPr>
          <w:rFonts w:cs="Arial"/>
        </w:rPr>
      </w:pPr>
    </w:p>
    <w:p w:rsidR="00646888" w:rsidRDefault="00646888" w:rsidP="004A2155">
      <w:pPr>
        <w:rPr>
          <w:rFonts w:cs="Arial"/>
        </w:rPr>
      </w:pPr>
    </w:p>
    <w:p w:rsidR="00646888" w:rsidRDefault="00646888" w:rsidP="004A2155">
      <w:pPr>
        <w:rPr>
          <w:rFonts w:cs="Arial"/>
        </w:rPr>
      </w:pPr>
    </w:p>
    <w:p w:rsidR="00646888" w:rsidRDefault="00646888" w:rsidP="004A2155">
      <w:pPr>
        <w:rPr>
          <w:rFonts w:cs="Arial"/>
        </w:rPr>
      </w:pPr>
    </w:p>
    <w:p w:rsidR="00646888" w:rsidRDefault="00646888" w:rsidP="004A2155">
      <w:pPr>
        <w:rPr>
          <w:rFonts w:cs="Arial"/>
        </w:rPr>
      </w:pPr>
    </w:p>
    <w:sectPr w:rsidR="00646888" w:rsidSect="00182281">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2C6" w:rsidRDefault="000522C6" w:rsidP="00182281">
      <w:r>
        <w:separator/>
      </w:r>
    </w:p>
  </w:endnote>
  <w:endnote w:type="continuationSeparator" w:id="0">
    <w:p w:rsidR="000522C6" w:rsidRDefault="000522C6" w:rsidP="00182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960786"/>
      <w:docPartObj>
        <w:docPartGallery w:val="Page Numbers (Bottom of Page)"/>
        <w:docPartUnique/>
      </w:docPartObj>
    </w:sdtPr>
    <w:sdtEndPr/>
    <w:sdtContent>
      <w:p w:rsidR="00182281" w:rsidRDefault="00182281">
        <w:pPr>
          <w:pStyle w:val="Zpat"/>
          <w:jc w:val="center"/>
        </w:pPr>
        <w:r>
          <w:fldChar w:fldCharType="begin"/>
        </w:r>
        <w:r>
          <w:instrText>PAGE   \* MERGEFORMAT</w:instrText>
        </w:r>
        <w:r>
          <w:fldChar w:fldCharType="separate"/>
        </w:r>
        <w:r w:rsidR="00343B5E">
          <w:rPr>
            <w:noProof/>
          </w:rPr>
          <w:t>2</w:t>
        </w:r>
        <w:r>
          <w:fldChar w:fldCharType="end"/>
        </w:r>
      </w:p>
    </w:sdtContent>
  </w:sdt>
  <w:p w:rsidR="00182281" w:rsidRDefault="0018228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2C6" w:rsidRDefault="000522C6" w:rsidP="00182281">
      <w:r>
        <w:separator/>
      </w:r>
    </w:p>
  </w:footnote>
  <w:footnote w:type="continuationSeparator" w:id="0">
    <w:p w:rsidR="000522C6" w:rsidRDefault="000522C6" w:rsidP="001822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54057"/>
    <w:multiLevelType w:val="hybridMultilevel"/>
    <w:tmpl w:val="A97A54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6B46423"/>
    <w:multiLevelType w:val="hybridMultilevel"/>
    <w:tmpl w:val="CD166D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096E7BC6"/>
    <w:multiLevelType w:val="hybridMultilevel"/>
    <w:tmpl w:val="2B6673DC"/>
    <w:lvl w:ilvl="0" w:tplc="80444282">
      <w:start w:val="1"/>
      <w:numFmt w:val="upperRoman"/>
      <w:pStyle w:val="Nzev"/>
      <w:lvlText w:val="%1."/>
      <w:lvlJc w:val="left"/>
      <w:pPr>
        <w:ind w:left="720" w:hanging="360"/>
      </w:pPr>
      <w:rPr>
        <w:rFonts w:hint="default"/>
      </w:rPr>
    </w:lvl>
    <w:lvl w:ilvl="1" w:tplc="F5B019FE" w:tentative="1">
      <w:start w:val="1"/>
      <w:numFmt w:val="lowerLetter"/>
      <w:lvlText w:val="%2."/>
      <w:lvlJc w:val="left"/>
      <w:pPr>
        <w:ind w:left="1440" w:hanging="360"/>
      </w:pPr>
    </w:lvl>
    <w:lvl w:ilvl="2" w:tplc="9654B646" w:tentative="1">
      <w:start w:val="1"/>
      <w:numFmt w:val="lowerRoman"/>
      <w:lvlText w:val="%3."/>
      <w:lvlJc w:val="right"/>
      <w:pPr>
        <w:ind w:left="2160" w:hanging="180"/>
      </w:pPr>
    </w:lvl>
    <w:lvl w:ilvl="3" w:tplc="4AC4C77A" w:tentative="1">
      <w:start w:val="1"/>
      <w:numFmt w:val="decimal"/>
      <w:lvlText w:val="%4."/>
      <w:lvlJc w:val="left"/>
      <w:pPr>
        <w:ind w:left="2880" w:hanging="360"/>
      </w:pPr>
    </w:lvl>
    <w:lvl w:ilvl="4" w:tplc="2E3AB4AA" w:tentative="1">
      <w:start w:val="1"/>
      <w:numFmt w:val="lowerLetter"/>
      <w:lvlText w:val="%5."/>
      <w:lvlJc w:val="left"/>
      <w:pPr>
        <w:ind w:left="3600" w:hanging="360"/>
      </w:pPr>
    </w:lvl>
    <w:lvl w:ilvl="5" w:tplc="52841592" w:tentative="1">
      <w:start w:val="1"/>
      <w:numFmt w:val="lowerRoman"/>
      <w:lvlText w:val="%6."/>
      <w:lvlJc w:val="right"/>
      <w:pPr>
        <w:ind w:left="4320" w:hanging="180"/>
      </w:pPr>
    </w:lvl>
    <w:lvl w:ilvl="6" w:tplc="D5CC88BA" w:tentative="1">
      <w:start w:val="1"/>
      <w:numFmt w:val="decimal"/>
      <w:lvlText w:val="%7."/>
      <w:lvlJc w:val="left"/>
      <w:pPr>
        <w:ind w:left="5040" w:hanging="360"/>
      </w:pPr>
    </w:lvl>
    <w:lvl w:ilvl="7" w:tplc="E4263B8C" w:tentative="1">
      <w:start w:val="1"/>
      <w:numFmt w:val="lowerLetter"/>
      <w:lvlText w:val="%8."/>
      <w:lvlJc w:val="left"/>
      <w:pPr>
        <w:ind w:left="5760" w:hanging="360"/>
      </w:pPr>
    </w:lvl>
    <w:lvl w:ilvl="8" w:tplc="BBA64318" w:tentative="1">
      <w:start w:val="1"/>
      <w:numFmt w:val="lowerRoman"/>
      <w:lvlText w:val="%9."/>
      <w:lvlJc w:val="right"/>
      <w:pPr>
        <w:ind w:left="6480" w:hanging="180"/>
      </w:pPr>
    </w:lvl>
  </w:abstractNum>
  <w:abstractNum w:abstractNumId="3">
    <w:nsid w:val="0FBB383B"/>
    <w:multiLevelType w:val="hybridMultilevel"/>
    <w:tmpl w:val="D3EEE28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1FA66121"/>
    <w:multiLevelType w:val="hybridMultilevel"/>
    <w:tmpl w:val="020272E0"/>
    <w:lvl w:ilvl="0" w:tplc="04050001">
      <w:start w:val="1"/>
      <w:numFmt w:val="bullet"/>
      <w:lvlText w:val=""/>
      <w:lvlJc w:val="left"/>
      <w:pPr>
        <w:ind w:left="336" w:hanging="360"/>
      </w:pPr>
      <w:rPr>
        <w:rFonts w:ascii="Symbol" w:hAnsi="Symbol" w:hint="default"/>
      </w:rPr>
    </w:lvl>
    <w:lvl w:ilvl="1" w:tplc="04050003" w:tentative="1">
      <w:start w:val="1"/>
      <w:numFmt w:val="bullet"/>
      <w:lvlText w:val="o"/>
      <w:lvlJc w:val="left"/>
      <w:pPr>
        <w:ind w:left="1056" w:hanging="360"/>
      </w:pPr>
      <w:rPr>
        <w:rFonts w:ascii="Courier New" w:hAnsi="Courier New" w:cs="Courier New" w:hint="default"/>
      </w:rPr>
    </w:lvl>
    <w:lvl w:ilvl="2" w:tplc="04050005" w:tentative="1">
      <w:start w:val="1"/>
      <w:numFmt w:val="bullet"/>
      <w:lvlText w:val=""/>
      <w:lvlJc w:val="left"/>
      <w:pPr>
        <w:ind w:left="1776" w:hanging="360"/>
      </w:pPr>
      <w:rPr>
        <w:rFonts w:ascii="Wingdings" w:hAnsi="Wingdings" w:hint="default"/>
      </w:rPr>
    </w:lvl>
    <w:lvl w:ilvl="3" w:tplc="04050001" w:tentative="1">
      <w:start w:val="1"/>
      <w:numFmt w:val="bullet"/>
      <w:lvlText w:val=""/>
      <w:lvlJc w:val="left"/>
      <w:pPr>
        <w:ind w:left="2496" w:hanging="360"/>
      </w:pPr>
      <w:rPr>
        <w:rFonts w:ascii="Symbol" w:hAnsi="Symbol" w:hint="default"/>
      </w:rPr>
    </w:lvl>
    <w:lvl w:ilvl="4" w:tplc="04050003" w:tentative="1">
      <w:start w:val="1"/>
      <w:numFmt w:val="bullet"/>
      <w:lvlText w:val="o"/>
      <w:lvlJc w:val="left"/>
      <w:pPr>
        <w:ind w:left="3216" w:hanging="360"/>
      </w:pPr>
      <w:rPr>
        <w:rFonts w:ascii="Courier New" w:hAnsi="Courier New" w:cs="Courier New" w:hint="default"/>
      </w:rPr>
    </w:lvl>
    <w:lvl w:ilvl="5" w:tplc="04050005" w:tentative="1">
      <w:start w:val="1"/>
      <w:numFmt w:val="bullet"/>
      <w:lvlText w:val=""/>
      <w:lvlJc w:val="left"/>
      <w:pPr>
        <w:ind w:left="3936" w:hanging="360"/>
      </w:pPr>
      <w:rPr>
        <w:rFonts w:ascii="Wingdings" w:hAnsi="Wingdings" w:hint="default"/>
      </w:rPr>
    </w:lvl>
    <w:lvl w:ilvl="6" w:tplc="04050001" w:tentative="1">
      <w:start w:val="1"/>
      <w:numFmt w:val="bullet"/>
      <w:lvlText w:val=""/>
      <w:lvlJc w:val="left"/>
      <w:pPr>
        <w:ind w:left="4656" w:hanging="360"/>
      </w:pPr>
      <w:rPr>
        <w:rFonts w:ascii="Symbol" w:hAnsi="Symbol" w:hint="default"/>
      </w:rPr>
    </w:lvl>
    <w:lvl w:ilvl="7" w:tplc="04050003" w:tentative="1">
      <w:start w:val="1"/>
      <w:numFmt w:val="bullet"/>
      <w:lvlText w:val="o"/>
      <w:lvlJc w:val="left"/>
      <w:pPr>
        <w:ind w:left="5376" w:hanging="360"/>
      </w:pPr>
      <w:rPr>
        <w:rFonts w:ascii="Courier New" w:hAnsi="Courier New" w:cs="Courier New" w:hint="default"/>
      </w:rPr>
    </w:lvl>
    <w:lvl w:ilvl="8" w:tplc="04050005" w:tentative="1">
      <w:start w:val="1"/>
      <w:numFmt w:val="bullet"/>
      <w:lvlText w:val=""/>
      <w:lvlJc w:val="left"/>
      <w:pPr>
        <w:ind w:left="6096" w:hanging="360"/>
      </w:pPr>
      <w:rPr>
        <w:rFonts w:ascii="Wingdings" w:hAnsi="Wingdings" w:hint="default"/>
      </w:rPr>
    </w:lvl>
  </w:abstractNum>
  <w:abstractNum w:abstractNumId="5">
    <w:nsid w:val="28015F76"/>
    <w:multiLevelType w:val="hybridMultilevel"/>
    <w:tmpl w:val="0FA8E6F0"/>
    <w:lvl w:ilvl="0" w:tplc="5890E852">
      <w:start w:val="2"/>
      <w:numFmt w:val="upp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6">
    <w:nsid w:val="489F309D"/>
    <w:multiLevelType w:val="hybridMultilevel"/>
    <w:tmpl w:val="435ED9DE"/>
    <w:lvl w:ilvl="0" w:tplc="6E68FE6E">
      <w:start w:val="4"/>
      <w:numFmt w:val="decimal"/>
      <w:lvlText w:val="%1)"/>
      <w:lvlJc w:val="left"/>
      <w:pPr>
        <w:ind w:left="360" w:hanging="360"/>
      </w:pPr>
      <w:rPr>
        <w:rFonts w:cs="Times New Roman" w:hint="default"/>
        <w:vertAlign w:val="superscript"/>
      </w:rPr>
    </w:lvl>
    <w:lvl w:ilvl="1" w:tplc="86ECAFF4" w:tentative="1">
      <w:start w:val="1"/>
      <w:numFmt w:val="lowerLetter"/>
      <w:lvlText w:val="%2."/>
      <w:lvlJc w:val="left"/>
      <w:pPr>
        <w:ind w:left="1440" w:hanging="360"/>
      </w:pPr>
      <w:rPr>
        <w:rFonts w:cs="Times New Roman"/>
      </w:rPr>
    </w:lvl>
    <w:lvl w:ilvl="2" w:tplc="9046753A" w:tentative="1">
      <w:start w:val="1"/>
      <w:numFmt w:val="lowerRoman"/>
      <w:lvlText w:val="%3."/>
      <w:lvlJc w:val="right"/>
      <w:pPr>
        <w:ind w:left="2160" w:hanging="180"/>
      </w:pPr>
      <w:rPr>
        <w:rFonts w:cs="Times New Roman"/>
      </w:rPr>
    </w:lvl>
    <w:lvl w:ilvl="3" w:tplc="C6C0292C" w:tentative="1">
      <w:start w:val="1"/>
      <w:numFmt w:val="decimal"/>
      <w:lvlText w:val="%4."/>
      <w:lvlJc w:val="left"/>
      <w:pPr>
        <w:ind w:left="2880" w:hanging="360"/>
      </w:pPr>
      <w:rPr>
        <w:rFonts w:cs="Times New Roman"/>
      </w:rPr>
    </w:lvl>
    <w:lvl w:ilvl="4" w:tplc="E6063270" w:tentative="1">
      <w:start w:val="1"/>
      <w:numFmt w:val="lowerLetter"/>
      <w:lvlText w:val="%5."/>
      <w:lvlJc w:val="left"/>
      <w:pPr>
        <w:ind w:left="3600" w:hanging="360"/>
      </w:pPr>
      <w:rPr>
        <w:rFonts w:cs="Times New Roman"/>
      </w:rPr>
    </w:lvl>
    <w:lvl w:ilvl="5" w:tplc="83BA0682" w:tentative="1">
      <w:start w:val="1"/>
      <w:numFmt w:val="lowerRoman"/>
      <w:lvlText w:val="%6."/>
      <w:lvlJc w:val="right"/>
      <w:pPr>
        <w:ind w:left="4320" w:hanging="180"/>
      </w:pPr>
      <w:rPr>
        <w:rFonts w:cs="Times New Roman"/>
      </w:rPr>
    </w:lvl>
    <w:lvl w:ilvl="6" w:tplc="195C37FC" w:tentative="1">
      <w:start w:val="1"/>
      <w:numFmt w:val="decimal"/>
      <w:lvlText w:val="%7."/>
      <w:lvlJc w:val="left"/>
      <w:pPr>
        <w:ind w:left="5040" w:hanging="360"/>
      </w:pPr>
      <w:rPr>
        <w:rFonts w:cs="Times New Roman"/>
      </w:rPr>
    </w:lvl>
    <w:lvl w:ilvl="7" w:tplc="245C36F0" w:tentative="1">
      <w:start w:val="1"/>
      <w:numFmt w:val="lowerLetter"/>
      <w:lvlText w:val="%8."/>
      <w:lvlJc w:val="left"/>
      <w:pPr>
        <w:ind w:left="5760" w:hanging="360"/>
      </w:pPr>
      <w:rPr>
        <w:rFonts w:cs="Times New Roman"/>
      </w:rPr>
    </w:lvl>
    <w:lvl w:ilvl="8" w:tplc="FF54DE4E" w:tentative="1">
      <w:start w:val="1"/>
      <w:numFmt w:val="lowerRoman"/>
      <w:lvlText w:val="%9."/>
      <w:lvlJc w:val="right"/>
      <w:pPr>
        <w:ind w:left="6480" w:hanging="180"/>
      </w:pPr>
      <w:rPr>
        <w:rFonts w:cs="Times New Roman"/>
      </w:rPr>
    </w:lvl>
  </w:abstractNum>
  <w:abstractNum w:abstractNumId="7">
    <w:nsid w:val="4901632A"/>
    <w:multiLevelType w:val="hybridMultilevel"/>
    <w:tmpl w:val="1AB024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18F1120"/>
    <w:multiLevelType w:val="hybridMultilevel"/>
    <w:tmpl w:val="460A6F6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nsid w:val="6C18111D"/>
    <w:multiLevelType w:val="hybridMultilevel"/>
    <w:tmpl w:val="96A4754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nsid w:val="7AD63722"/>
    <w:multiLevelType w:val="hybridMultilevel"/>
    <w:tmpl w:val="37948F54"/>
    <w:lvl w:ilvl="0" w:tplc="22EAED16">
      <w:start w:val="1"/>
      <w:numFmt w:val="decimal"/>
      <w:lvlText w:val="(%1)"/>
      <w:lvlJc w:val="left"/>
      <w:pPr>
        <w:ind w:left="1367" w:hanging="375"/>
      </w:pPr>
      <w:rPr>
        <w:rFonts w:cs="Times New Roman" w:hint="default"/>
      </w:rPr>
    </w:lvl>
    <w:lvl w:ilvl="1" w:tplc="04050019" w:tentative="1">
      <w:start w:val="1"/>
      <w:numFmt w:val="lowerLetter"/>
      <w:lvlText w:val="%2."/>
      <w:lvlJc w:val="left"/>
      <w:pPr>
        <w:ind w:left="2072" w:hanging="360"/>
      </w:pPr>
      <w:rPr>
        <w:rFonts w:cs="Times New Roman"/>
      </w:rPr>
    </w:lvl>
    <w:lvl w:ilvl="2" w:tplc="0405001B" w:tentative="1">
      <w:start w:val="1"/>
      <w:numFmt w:val="lowerRoman"/>
      <w:lvlText w:val="%3."/>
      <w:lvlJc w:val="right"/>
      <w:pPr>
        <w:ind w:left="2792" w:hanging="180"/>
      </w:pPr>
      <w:rPr>
        <w:rFonts w:cs="Times New Roman"/>
      </w:rPr>
    </w:lvl>
    <w:lvl w:ilvl="3" w:tplc="0405000F" w:tentative="1">
      <w:start w:val="1"/>
      <w:numFmt w:val="decimal"/>
      <w:lvlText w:val="%4."/>
      <w:lvlJc w:val="left"/>
      <w:pPr>
        <w:ind w:left="3512" w:hanging="360"/>
      </w:pPr>
      <w:rPr>
        <w:rFonts w:cs="Times New Roman"/>
      </w:rPr>
    </w:lvl>
    <w:lvl w:ilvl="4" w:tplc="04050019" w:tentative="1">
      <w:start w:val="1"/>
      <w:numFmt w:val="lowerLetter"/>
      <w:lvlText w:val="%5."/>
      <w:lvlJc w:val="left"/>
      <w:pPr>
        <w:ind w:left="4232" w:hanging="360"/>
      </w:pPr>
      <w:rPr>
        <w:rFonts w:cs="Times New Roman"/>
      </w:rPr>
    </w:lvl>
    <w:lvl w:ilvl="5" w:tplc="0405001B" w:tentative="1">
      <w:start w:val="1"/>
      <w:numFmt w:val="lowerRoman"/>
      <w:lvlText w:val="%6."/>
      <w:lvlJc w:val="right"/>
      <w:pPr>
        <w:ind w:left="4952" w:hanging="180"/>
      </w:pPr>
      <w:rPr>
        <w:rFonts w:cs="Times New Roman"/>
      </w:rPr>
    </w:lvl>
    <w:lvl w:ilvl="6" w:tplc="0405000F" w:tentative="1">
      <w:start w:val="1"/>
      <w:numFmt w:val="decimal"/>
      <w:lvlText w:val="%7."/>
      <w:lvlJc w:val="left"/>
      <w:pPr>
        <w:ind w:left="5672" w:hanging="360"/>
      </w:pPr>
      <w:rPr>
        <w:rFonts w:cs="Times New Roman"/>
      </w:rPr>
    </w:lvl>
    <w:lvl w:ilvl="7" w:tplc="04050019" w:tentative="1">
      <w:start w:val="1"/>
      <w:numFmt w:val="lowerLetter"/>
      <w:lvlText w:val="%8."/>
      <w:lvlJc w:val="left"/>
      <w:pPr>
        <w:ind w:left="6392" w:hanging="360"/>
      </w:pPr>
      <w:rPr>
        <w:rFonts w:cs="Times New Roman"/>
      </w:rPr>
    </w:lvl>
    <w:lvl w:ilvl="8" w:tplc="0405001B" w:tentative="1">
      <w:start w:val="1"/>
      <w:numFmt w:val="lowerRoman"/>
      <w:lvlText w:val="%9."/>
      <w:lvlJc w:val="right"/>
      <w:pPr>
        <w:ind w:left="7112" w:hanging="180"/>
      </w:pPr>
      <w:rPr>
        <w:rFonts w:cs="Times New Roman"/>
      </w:rPr>
    </w:lvl>
  </w:abstractNum>
  <w:num w:numId="1">
    <w:abstractNumId w:val="7"/>
  </w:num>
  <w:num w:numId="2">
    <w:abstractNumId w:val="9"/>
  </w:num>
  <w:num w:numId="3">
    <w:abstractNumId w:val="3"/>
  </w:num>
  <w:num w:numId="4">
    <w:abstractNumId w:val="1"/>
  </w:num>
  <w:num w:numId="5">
    <w:abstractNumId w:val="0"/>
  </w:num>
  <w:num w:numId="6">
    <w:abstractNumId w:val="10"/>
  </w:num>
  <w:num w:numId="7">
    <w:abstractNumId w:val="4"/>
  </w:num>
  <w:num w:numId="8">
    <w:abstractNumId w:val="8"/>
  </w:num>
  <w:num w:numId="9">
    <w:abstractNumId w:val="2"/>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155"/>
    <w:rsid w:val="00006402"/>
    <w:rsid w:val="00025451"/>
    <w:rsid w:val="00027A47"/>
    <w:rsid w:val="00043036"/>
    <w:rsid w:val="000522C6"/>
    <w:rsid w:val="000550EE"/>
    <w:rsid w:val="000552A9"/>
    <w:rsid w:val="00062FA6"/>
    <w:rsid w:val="00063FBB"/>
    <w:rsid w:val="000708EF"/>
    <w:rsid w:val="0007158F"/>
    <w:rsid w:val="00082DBF"/>
    <w:rsid w:val="00095C2B"/>
    <w:rsid w:val="000B0DAB"/>
    <w:rsid w:val="000C371D"/>
    <w:rsid w:val="000D4053"/>
    <w:rsid w:val="000E3105"/>
    <w:rsid w:val="000F1117"/>
    <w:rsid w:val="00124361"/>
    <w:rsid w:val="0012689D"/>
    <w:rsid w:val="00132041"/>
    <w:rsid w:val="0014692C"/>
    <w:rsid w:val="00154B56"/>
    <w:rsid w:val="00165501"/>
    <w:rsid w:val="001662DF"/>
    <w:rsid w:val="00177AC9"/>
    <w:rsid w:val="00181543"/>
    <w:rsid w:val="00181996"/>
    <w:rsid w:val="00182281"/>
    <w:rsid w:val="00185B92"/>
    <w:rsid w:val="001904DA"/>
    <w:rsid w:val="00197EA1"/>
    <w:rsid w:val="001F2F30"/>
    <w:rsid w:val="00221D32"/>
    <w:rsid w:val="0023240F"/>
    <w:rsid w:val="0023622C"/>
    <w:rsid w:val="002375B0"/>
    <w:rsid w:val="002463AB"/>
    <w:rsid w:val="00247556"/>
    <w:rsid w:val="00254C3E"/>
    <w:rsid w:val="002912C1"/>
    <w:rsid w:val="002A4345"/>
    <w:rsid w:val="002B0E47"/>
    <w:rsid w:val="002B7565"/>
    <w:rsid w:val="002C1E94"/>
    <w:rsid w:val="002C749F"/>
    <w:rsid w:val="002D613A"/>
    <w:rsid w:val="003038B1"/>
    <w:rsid w:val="00303D15"/>
    <w:rsid w:val="00305412"/>
    <w:rsid w:val="00317235"/>
    <w:rsid w:val="00337839"/>
    <w:rsid w:val="00343B5E"/>
    <w:rsid w:val="003458E3"/>
    <w:rsid w:val="00351DBC"/>
    <w:rsid w:val="003572B6"/>
    <w:rsid w:val="00357B19"/>
    <w:rsid w:val="00370E07"/>
    <w:rsid w:val="00371389"/>
    <w:rsid w:val="00382AD9"/>
    <w:rsid w:val="003847D0"/>
    <w:rsid w:val="00386A5B"/>
    <w:rsid w:val="00393130"/>
    <w:rsid w:val="003934FF"/>
    <w:rsid w:val="00393DC4"/>
    <w:rsid w:val="00395486"/>
    <w:rsid w:val="003A228A"/>
    <w:rsid w:val="003B0D89"/>
    <w:rsid w:val="003C655C"/>
    <w:rsid w:val="003D1014"/>
    <w:rsid w:val="003D3842"/>
    <w:rsid w:val="003D75AD"/>
    <w:rsid w:val="003F1DAD"/>
    <w:rsid w:val="003F1E9B"/>
    <w:rsid w:val="0040018D"/>
    <w:rsid w:val="004016EA"/>
    <w:rsid w:val="00410E23"/>
    <w:rsid w:val="004158FF"/>
    <w:rsid w:val="00421B21"/>
    <w:rsid w:val="00431791"/>
    <w:rsid w:val="0043537C"/>
    <w:rsid w:val="00446884"/>
    <w:rsid w:val="0045345C"/>
    <w:rsid w:val="00476EF2"/>
    <w:rsid w:val="004A2155"/>
    <w:rsid w:val="004C04BD"/>
    <w:rsid w:val="004F4380"/>
    <w:rsid w:val="0051427B"/>
    <w:rsid w:val="0051761F"/>
    <w:rsid w:val="00531A17"/>
    <w:rsid w:val="005348AE"/>
    <w:rsid w:val="00536B6B"/>
    <w:rsid w:val="005572CC"/>
    <w:rsid w:val="00560E97"/>
    <w:rsid w:val="005666C2"/>
    <w:rsid w:val="00570A60"/>
    <w:rsid w:val="005736B5"/>
    <w:rsid w:val="00573A6B"/>
    <w:rsid w:val="00574F18"/>
    <w:rsid w:val="00585020"/>
    <w:rsid w:val="00590527"/>
    <w:rsid w:val="0059722C"/>
    <w:rsid w:val="0059726A"/>
    <w:rsid w:val="005A061A"/>
    <w:rsid w:val="005B036E"/>
    <w:rsid w:val="005B5D27"/>
    <w:rsid w:val="005C3ED6"/>
    <w:rsid w:val="005D68C2"/>
    <w:rsid w:val="005F255A"/>
    <w:rsid w:val="0061160E"/>
    <w:rsid w:val="00615CE8"/>
    <w:rsid w:val="00625E36"/>
    <w:rsid w:val="00627561"/>
    <w:rsid w:val="00632424"/>
    <w:rsid w:val="00646888"/>
    <w:rsid w:val="00647901"/>
    <w:rsid w:val="00660DF1"/>
    <w:rsid w:val="0068651D"/>
    <w:rsid w:val="0069008A"/>
    <w:rsid w:val="006A7A24"/>
    <w:rsid w:val="006B3DB4"/>
    <w:rsid w:val="006B7A01"/>
    <w:rsid w:val="006C310A"/>
    <w:rsid w:val="006E576C"/>
    <w:rsid w:val="006F11D3"/>
    <w:rsid w:val="006F4225"/>
    <w:rsid w:val="007010D0"/>
    <w:rsid w:val="0072117C"/>
    <w:rsid w:val="00730965"/>
    <w:rsid w:val="00734754"/>
    <w:rsid w:val="00742364"/>
    <w:rsid w:val="0075074B"/>
    <w:rsid w:val="007541B4"/>
    <w:rsid w:val="007606E9"/>
    <w:rsid w:val="00781A59"/>
    <w:rsid w:val="0078227F"/>
    <w:rsid w:val="0078314D"/>
    <w:rsid w:val="007959D7"/>
    <w:rsid w:val="00797EB6"/>
    <w:rsid w:val="007B3697"/>
    <w:rsid w:val="007B552F"/>
    <w:rsid w:val="007D3AA8"/>
    <w:rsid w:val="007D5D7A"/>
    <w:rsid w:val="007E3D57"/>
    <w:rsid w:val="007F34B0"/>
    <w:rsid w:val="007F5AC0"/>
    <w:rsid w:val="00821992"/>
    <w:rsid w:val="00823979"/>
    <w:rsid w:val="00846FD5"/>
    <w:rsid w:val="0085672B"/>
    <w:rsid w:val="00870371"/>
    <w:rsid w:val="00876B83"/>
    <w:rsid w:val="00894390"/>
    <w:rsid w:val="008A5FA8"/>
    <w:rsid w:val="008C4850"/>
    <w:rsid w:val="008C4F33"/>
    <w:rsid w:val="008F4C06"/>
    <w:rsid w:val="008F720D"/>
    <w:rsid w:val="00904C5A"/>
    <w:rsid w:val="0090671D"/>
    <w:rsid w:val="0091203F"/>
    <w:rsid w:val="0099012B"/>
    <w:rsid w:val="009A49F2"/>
    <w:rsid w:val="009C3AF0"/>
    <w:rsid w:val="009D2425"/>
    <w:rsid w:val="009D41B6"/>
    <w:rsid w:val="009F6346"/>
    <w:rsid w:val="00A01450"/>
    <w:rsid w:val="00A06615"/>
    <w:rsid w:val="00A07788"/>
    <w:rsid w:val="00A13F18"/>
    <w:rsid w:val="00A30247"/>
    <w:rsid w:val="00A34793"/>
    <w:rsid w:val="00A45797"/>
    <w:rsid w:val="00A539F8"/>
    <w:rsid w:val="00A6368E"/>
    <w:rsid w:val="00A71CDA"/>
    <w:rsid w:val="00A82D7A"/>
    <w:rsid w:val="00A94948"/>
    <w:rsid w:val="00A96EC4"/>
    <w:rsid w:val="00AA206B"/>
    <w:rsid w:val="00AC0A2F"/>
    <w:rsid w:val="00AC75FE"/>
    <w:rsid w:val="00AE147B"/>
    <w:rsid w:val="00AF02E7"/>
    <w:rsid w:val="00B03E7C"/>
    <w:rsid w:val="00B055A5"/>
    <w:rsid w:val="00B12CE9"/>
    <w:rsid w:val="00B13344"/>
    <w:rsid w:val="00B262B5"/>
    <w:rsid w:val="00B27E33"/>
    <w:rsid w:val="00B406C3"/>
    <w:rsid w:val="00B4553D"/>
    <w:rsid w:val="00BA1F40"/>
    <w:rsid w:val="00BA222C"/>
    <w:rsid w:val="00BB7C24"/>
    <w:rsid w:val="00BD209A"/>
    <w:rsid w:val="00BE660C"/>
    <w:rsid w:val="00BF5D26"/>
    <w:rsid w:val="00C06C04"/>
    <w:rsid w:val="00C12A7A"/>
    <w:rsid w:val="00C21B78"/>
    <w:rsid w:val="00C261E6"/>
    <w:rsid w:val="00C2725B"/>
    <w:rsid w:val="00C308EF"/>
    <w:rsid w:val="00C534FE"/>
    <w:rsid w:val="00C74987"/>
    <w:rsid w:val="00C84BE3"/>
    <w:rsid w:val="00CB194A"/>
    <w:rsid w:val="00CB3200"/>
    <w:rsid w:val="00CB393D"/>
    <w:rsid w:val="00CD0F37"/>
    <w:rsid w:val="00CD674B"/>
    <w:rsid w:val="00CE33C7"/>
    <w:rsid w:val="00CE35EA"/>
    <w:rsid w:val="00CF3A7D"/>
    <w:rsid w:val="00D0575C"/>
    <w:rsid w:val="00D0645F"/>
    <w:rsid w:val="00D12481"/>
    <w:rsid w:val="00D53253"/>
    <w:rsid w:val="00D57866"/>
    <w:rsid w:val="00D73EA5"/>
    <w:rsid w:val="00D75349"/>
    <w:rsid w:val="00D80735"/>
    <w:rsid w:val="00D96B69"/>
    <w:rsid w:val="00DC3B4F"/>
    <w:rsid w:val="00DC5967"/>
    <w:rsid w:val="00DD210C"/>
    <w:rsid w:val="00DD246F"/>
    <w:rsid w:val="00DD78F5"/>
    <w:rsid w:val="00DE0435"/>
    <w:rsid w:val="00DE0690"/>
    <w:rsid w:val="00DE2591"/>
    <w:rsid w:val="00DE561D"/>
    <w:rsid w:val="00DF4DB6"/>
    <w:rsid w:val="00E22B7F"/>
    <w:rsid w:val="00E50000"/>
    <w:rsid w:val="00E768E4"/>
    <w:rsid w:val="00E8405D"/>
    <w:rsid w:val="00EA276E"/>
    <w:rsid w:val="00EA7FE6"/>
    <w:rsid w:val="00EB0069"/>
    <w:rsid w:val="00EB2C0F"/>
    <w:rsid w:val="00EC69FC"/>
    <w:rsid w:val="00ED0B2B"/>
    <w:rsid w:val="00ED2EE4"/>
    <w:rsid w:val="00EE7A71"/>
    <w:rsid w:val="00EF00D3"/>
    <w:rsid w:val="00EF0EB6"/>
    <w:rsid w:val="00EF648E"/>
    <w:rsid w:val="00F00792"/>
    <w:rsid w:val="00F2555F"/>
    <w:rsid w:val="00F44D8A"/>
    <w:rsid w:val="00F85587"/>
    <w:rsid w:val="00F87AFB"/>
    <w:rsid w:val="00FA240A"/>
    <w:rsid w:val="00FB15FF"/>
    <w:rsid w:val="00FB26AE"/>
    <w:rsid w:val="00FC1DE4"/>
    <w:rsid w:val="00FC2605"/>
    <w:rsid w:val="00FC38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A7FE6"/>
    <w:pPr>
      <w:spacing w:after="0" w:line="240" w:lineRule="auto"/>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F5D26"/>
    <w:pPr>
      <w:ind w:left="720"/>
      <w:contextualSpacing/>
    </w:pPr>
  </w:style>
  <w:style w:type="character" w:styleId="Siln">
    <w:name w:val="Strong"/>
    <w:basedOn w:val="Standardnpsmoodstavce"/>
    <w:uiPriority w:val="22"/>
    <w:qFormat/>
    <w:rsid w:val="00BF5D26"/>
    <w:rPr>
      <w:b/>
      <w:bCs/>
    </w:rPr>
  </w:style>
  <w:style w:type="paragraph" w:styleId="Zhlav">
    <w:name w:val="header"/>
    <w:basedOn w:val="Normln"/>
    <w:link w:val="ZhlavChar"/>
    <w:uiPriority w:val="99"/>
    <w:unhideWhenUsed/>
    <w:rsid w:val="00182281"/>
    <w:pPr>
      <w:tabs>
        <w:tab w:val="center" w:pos="4536"/>
        <w:tab w:val="right" w:pos="9072"/>
      </w:tabs>
    </w:pPr>
  </w:style>
  <w:style w:type="character" w:customStyle="1" w:styleId="ZhlavChar">
    <w:name w:val="Záhlaví Char"/>
    <w:basedOn w:val="Standardnpsmoodstavce"/>
    <w:link w:val="Zhlav"/>
    <w:uiPriority w:val="99"/>
    <w:rsid w:val="00182281"/>
    <w:rPr>
      <w:rFonts w:ascii="Arial" w:hAnsi="Arial"/>
    </w:rPr>
  </w:style>
  <w:style w:type="paragraph" w:styleId="Zpat">
    <w:name w:val="footer"/>
    <w:basedOn w:val="Normln"/>
    <w:link w:val="ZpatChar"/>
    <w:uiPriority w:val="99"/>
    <w:unhideWhenUsed/>
    <w:rsid w:val="00182281"/>
    <w:pPr>
      <w:tabs>
        <w:tab w:val="center" w:pos="4536"/>
        <w:tab w:val="right" w:pos="9072"/>
      </w:tabs>
    </w:pPr>
  </w:style>
  <w:style w:type="character" w:customStyle="1" w:styleId="ZpatChar">
    <w:name w:val="Zápatí Char"/>
    <w:basedOn w:val="Standardnpsmoodstavce"/>
    <w:link w:val="Zpat"/>
    <w:uiPriority w:val="99"/>
    <w:rsid w:val="00182281"/>
    <w:rPr>
      <w:rFonts w:ascii="Arial" w:hAnsi="Arial"/>
    </w:rPr>
  </w:style>
  <w:style w:type="paragraph" w:styleId="Textbubliny">
    <w:name w:val="Balloon Text"/>
    <w:basedOn w:val="Normln"/>
    <w:link w:val="TextbublinyChar"/>
    <w:uiPriority w:val="99"/>
    <w:semiHidden/>
    <w:unhideWhenUsed/>
    <w:rsid w:val="00EF0EB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F0EB6"/>
    <w:rPr>
      <w:rFonts w:ascii="Segoe UI" w:hAnsi="Segoe UI" w:cs="Segoe UI"/>
      <w:sz w:val="18"/>
      <w:szCs w:val="18"/>
    </w:rPr>
  </w:style>
  <w:style w:type="character" w:styleId="Odkaznakoment">
    <w:name w:val="annotation reference"/>
    <w:basedOn w:val="Standardnpsmoodstavce"/>
    <w:uiPriority w:val="99"/>
    <w:semiHidden/>
    <w:unhideWhenUsed/>
    <w:rsid w:val="009D41B6"/>
    <w:rPr>
      <w:sz w:val="16"/>
      <w:szCs w:val="16"/>
    </w:rPr>
  </w:style>
  <w:style w:type="paragraph" w:styleId="Textkomente">
    <w:name w:val="annotation text"/>
    <w:basedOn w:val="Normln"/>
    <w:link w:val="TextkomenteChar"/>
    <w:uiPriority w:val="99"/>
    <w:semiHidden/>
    <w:unhideWhenUsed/>
    <w:rsid w:val="009D41B6"/>
    <w:rPr>
      <w:sz w:val="20"/>
      <w:szCs w:val="20"/>
    </w:rPr>
  </w:style>
  <w:style w:type="character" w:customStyle="1" w:styleId="TextkomenteChar">
    <w:name w:val="Text komentáře Char"/>
    <w:basedOn w:val="Standardnpsmoodstavce"/>
    <w:link w:val="Textkomente"/>
    <w:uiPriority w:val="99"/>
    <w:semiHidden/>
    <w:rsid w:val="009D41B6"/>
    <w:rPr>
      <w:rFonts w:ascii="Arial" w:hAnsi="Arial"/>
      <w:sz w:val="20"/>
      <w:szCs w:val="20"/>
    </w:rPr>
  </w:style>
  <w:style w:type="paragraph" w:styleId="Pedmtkomente">
    <w:name w:val="annotation subject"/>
    <w:basedOn w:val="Textkomente"/>
    <w:next w:val="Textkomente"/>
    <w:link w:val="PedmtkomenteChar"/>
    <w:uiPriority w:val="99"/>
    <w:semiHidden/>
    <w:unhideWhenUsed/>
    <w:rsid w:val="009D41B6"/>
    <w:rPr>
      <w:b/>
      <w:bCs/>
    </w:rPr>
  </w:style>
  <w:style w:type="character" w:customStyle="1" w:styleId="PedmtkomenteChar">
    <w:name w:val="Předmět komentáře Char"/>
    <w:basedOn w:val="TextkomenteChar"/>
    <w:link w:val="Pedmtkomente"/>
    <w:uiPriority w:val="99"/>
    <w:semiHidden/>
    <w:rsid w:val="009D41B6"/>
    <w:rPr>
      <w:rFonts w:ascii="Arial" w:hAnsi="Arial"/>
      <w:b/>
      <w:bCs/>
      <w:sz w:val="20"/>
      <w:szCs w:val="20"/>
    </w:rPr>
  </w:style>
  <w:style w:type="paragraph" w:customStyle="1" w:styleId="CM4">
    <w:name w:val="CM4"/>
    <w:basedOn w:val="Normln"/>
    <w:next w:val="Normln"/>
    <w:uiPriority w:val="99"/>
    <w:rsid w:val="000D4053"/>
    <w:pPr>
      <w:autoSpaceDE w:val="0"/>
      <w:autoSpaceDN w:val="0"/>
      <w:adjustRightInd w:val="0"/>
      <w:spacing w:before="60" w:after="60"/>
    </w:pPr>
    <w:rPr>
      <w:rFonts w:ascii="EUAlbertina" w:eastAsia="Times New Roman" w:hAnsi="EUAlbertina" w:cs="Times New Roman"/>
      <w:sz w:val="24"/>
      <w:szCs w:val="24"/>
      <w:lang w:eastAsia="cs-CZ"/>
    </w:rPr>
  </w:style>
  <w:style w:type="character" w:styleId="Hypertextovodkaz">
    <w:name w:val="Hyperlink"/>
    <w:basedOn w:val="Standardnpsmoodstavce"/>
    <w:uiPriority w:val="99"/>
    <w:unhideWhenUsed/>
    <w:rsid w:val="00C06C04"/>
    <w:rPr>
      <w:color w:val="0000FF" w:themeColor="hyperlink"/>
      <w:u w:val="single"/>
    </w:rPr>
  </w:style>
  <w:style w:type="paragraph" w:styleId="Zkladntext">
    <w:name w:val="Body Text"/>
    <w:basedOn w:val="Normln"/>
    <w:link w:val="ZkladntextChar"/>
    <w:uiPriority w:val="99"/>
    <w:semiHidden/>
    <w:unhideWhenUsed/>
    <w:rsid w:val="00C06C04"/>
    <w:pPr>
      <w:spacing w:after="120"/>
      <w:jc w:val="both"/>
    </w:pPr>
    <w:rPr>
      <w:rFonts w:ascii="Times New Roman" w:eastAsia="Times New Roman" w:hAnsi="Times New Roman" w:cs="Times New Roman"/>
      <w:sz w:val="24"/>
      <w:szCs w:val="20"/>
      <w:lang w:val="x-none" w:eastAsia="cs-CZ"/>
    </w:rPr>
  </w:style>
  <w:style w:type="character" w:customStyle="1" w:styleId="ZkladntextChar">
    <w:name w:val="Základní text Char"/>
    <w:basedOn w:val="Standardnpsmoodstavce"/>
    <w:link w:val="Zkladntext"/>
    <w:uiPriority w:val="99"/>
    <w:semiHidden/>
    <w:rsid w:val="00C06C04"/>
    <w:rPr>
      <w:rFonts w:ascii="Times New Roman" w:eastAsia="Times New Roman" w:hAnsi="Times New Roman" w:cs="Times New Roman"/>
      <w:sz w:val="24"/>
      <w:szCs w:val="20"/>
      <w:lang w:val="x-none" w:eastAsia="cs-CZ"/>
    </w:rPr>
  </w:style>
  <w:style w:type="paragraph" w:styleId="Bezmezer">
    <w:name w:val="No Spacing"/>
    <w:aliases w:val="TNR"/>
    <w:uiPriority w:val="1"/>
    <w:qFormat/>
    <w:rsid w:val="008F4C06"/>
    <w:pPr>
      <w:spacing w:after="0" w:line="240" w:lineRule="auto"/>
    </w:pPr>
    <w:rPr>
      <w:rFonts w:ascii="Calibri" w:eastAsia="Calibri" w:hAnsi="Calibri" w:cs="Times New Roman"/>
    </w:rPr>
  </w:style>
  <w:style w:type="paragraph" w:styleId="Nzev">
    <w:name w:val="Title"/>
    <w:basedOn w:val="Normln"/>
    <w:next w:val="Normln"/>
    <w:link w:val="NzevChar"/>
    <w:uiPriority w:val="10"/>
    <w:qFormat/>
    <w:rsid w:val="00CD674B"/>
    <w:pPr>
      <w:numPr>
        <w:numId w:val="9"/>
      </w:numPr>
      <w:spacing w:before="240" w:after="60" w:line="276" w:lineRule="auto"/>
      <w:ind w:left="357" w:hanging="357"/>
      <w:jc w:val="both"/>
      <w:outlineLvl w:val="0"/>
    </w:pPr>
    <w:rPr>
      <w:rFonts w:eastAsia="Times New Roman" w:cs="Cambria"/>
      <w:b/>
      <w:caps/>
      <w:kern w:val="28"/>
      <w:szCs w:val="32"/>
    </w:rPr>
  </w:style>
  <w:style w:type="character" w:customStyle="1" w:styleId="NzevChar">
    <w:name w:val="Název Char"/>
    <w:basedOn w:val="Standardnpsmoodstavce"/>
    <w:link w:val="Nzev"/>
    <w:uiPriority w:val="10"/>
    <w:rsid w:val="00CD674B"/>
    <w:rPr>
      <w:rFonts w:ascii="Arial" w:eastAsia="Times New Roman" w:hAnsi="Arial" w:cs="Cambria"/>
      <w:b/>
      <w:caps/>
      <w:kern w:val="28"/>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A7FE6"/>
    <w:pPr>
      <w:spacing w:after="0" w:line="240" w:lineRule="auto"/>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F5D26"/>
    <w:pPr>
      <w:ind w:left="720"/>
      <w:contextualSpacing/>
    </w:pPr>
  </w:style>
  <w:style w:type="character" w:styleId="Siln">
    <w:name w:val="Strong"/>
    <w:basedOn w:val="Standardnpsmoodstavce"/>
    <w:uiPriority w:val="22"/>
    <w:qFormat/>
    <w:rsid w:val="00BF5D26"/>
    <w:rPr>
      <w:b/>
      <w:bCs/>
    </w:rPr>
  </w:style>
  <w:style w:type="paragraph" w:styleId="Zhlav">
    <w:name w:val="header"/>
    <w:basedOn w:val="Normln"/>
    <w:link w:val="ZhlavChar"/>
    <w:uiPriority w:val="99"/>
    <w:unhideWhenUsed/>
    <w:rsid w:val="00182281"/>
    <w:pPr>
      <w:tabs>
        <w:tab w:val="center" w:pos="4536"/>
        <w:tab w:val="right" w:pos="9072"/>
      </w:tabs>
    </w:pPr>
  </w:style>
  <w:style w:type="character" w:customStyle="1" w:styleId="ZhlavChar">
    <w:name w:val="Záhlaví Char"/>
    <w:basedOn w:val="Standardnpsmoodstavce"/>
    <w:link w:val="Zhlav"/>
    <w:uiPriority w:val="99"/>
    <w:rsid w:val="00182281"/>
    <w:rPr>
      <w:rFonts w:ascii="Arial" w:hAnsi="Arial"/>
    </w:rPr>
  </w:style>
  <w:style w:type="paragraph" w:styleId="Zpat">
    <w:name w:val="footer"/>
    <w:basedOn w:val="Normln"/>
    <w:link w:val="ZpatChar"/>
    <w:uiPriority w:val="99"/>
    <w:unhideWhenUsed/>
    <w:rsid w:val="00182281"/>
    <w:pPr>
      <w:tabs>
        <w:tab w:val="center" w:pos="4536"/>
        <w:tab w:val="right" w:pos="9072"/>
      </w:tabs>
    </w:pPr>
  </w:style>
  <w:style w:type="character" w:customStyle="1" w:styleId="ZpatChar">
    <w:name w:val="Zápatí Char"/>
    <w:basedOn w:val="Standardnpsmoodstavce"/>
    <w:link w:val="Zpat"/>
    <w:uiPriority w:val="99"/>
    <w:rsid w:val="00182281"/>
    <w:rPr>
      <w:rFonts w:ascii="Arial" w:hAnsi="Arial"/>
    </w:rPr>
  </w:style>
  <w:style w:type="paragraph" w:styleId="Textbubliny">
    <w:name w:val="Balloon Text"/>
    <w:basedOn w:val="Normln"/>
    <w:link w:val="TextbublinyChar"/>
    <w:uiPriority w:val="99"/>
    <w:semiHidden/>
    <w:unhideWhenUsed/>
    <w:rsid w:val="00EF0EB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F0EB6"/>
    <w:rPr>
      <w:rFonts w:ascii="Segoe UI" w:hAnsi="Segoe UI" w:cs="Segoe UI"/>
      <w:sz w:val="18"/>
      <w:szCs w:val="18"/>
    </w:rPr>
  </w:style>
  <w:style w:type="character" w:styleId="Odkaznakoment">
    <w:name w:val="annotation reference"/>
    <w:basedOn w:val="Standardnpsmoodstavce"/>
    <w:uiPriority w:val="99"/>
    <w:semiHidden/>
    <w:unhideWhenUsed/>
    <w:rsid w:val="009D41B6"/>
    <w:rPr>
      <w:sz w:val="16"/>
      <w:szCs w:val="16"/>
    </w:rPr>
  </w:style>
  <w:style w:type="paragraph" w:styleId="Textkomente">
    <w:name w:val="annotation text"/>
    <w:basedOn w:val="Normln"/>
    <w:link w:val="TextkomenteChar"/>
    <w:uiPriority w:val="99"/>
    <w:semiHidden/>
    <w:unhideWhenUsed/>
    <w:rsid w:val="009D41B6"/>
    <w:rPr>
      <w:sz w:val="20"/>
      <w:szCs w:val="20"/>
    </w:rPr>
  </w:style>
  <w:style w:type="character" w:customStyle="1" w:styleId="TextkomenteChar">
    <w:name w:val="Text komentáře Char"/>
    <w:basedOn w:val="Standardnpsmoodstavce"/>
    <w:link w:val="Textkomente"/>
    <w:uiPriority w:val="99"/>
    <w:semiHidden/>
    <w:rsid w:val="009D41B6"/>
    <w:rPr>
      <w:rFonts w:ascii="Arial" w:hAnsi="Arial"/>
      <w:sz w:val="20"/>
      <w:szCs w:val="20"/>
    </w:rPr>
  </w:style>
  <w:style w:type="paragraph" w:styleId="Pedmtkomente">
    <w:name w:val="annotation subject"/>
    <w:basedOn w:val="Textkomente"/>
    <w:next w:val="Textkomente"/>
    <w:link w:val="PedmtkomenteChar"/>
    <w:uiPriority w:val="99"/>
    <w:semiHidden/>
    <w:unhideWhenUsed/>
    <w:rsid w:val="009D41B6"/>
    <w:rPr>
      <w:b/>
      <w:bCs/>
    </w:rPr>
  </w:style>
  <w:style w:type="character" w:customStyle="1" w:styleId="PedmtkomenteChar">
    <w:name w:val="Předmět komentáře Char"/>
    <w:basedOn w:val="TextkomenteChar"/>
    <w:link w:val="Pedmtkomente"/>
    <w:uiPriority w:val="99"/>
    <w:semiHidden/>
    <w:rsid w:val="009D41B6"/>
    <w:rPr>
      <w:rFonts w:ascii="Arial" w:hAnsi="Arial"/>
      <w:b/>
      <w:bCs/>
      <w:sz w:val="20"/>
      <w:szCs w:val="20"/>
    </w:rPr>
  </w:style>
  <w:style w:type="paragraph" w:customStyle="1" w:styleId="CM4">
    <w:name w:val="CM4"/>
    <w:basedOn w:val="Normln"/>
    <w:next w:val="Normln"/>
    <w:uiPriority w:val="99"/>
    <w:rsid w:val="000D4053"/>
    <w:pPr>
      <w:autoSpaceDE w:val="0"/>
      <w:autoSpaceDN w:val="0"/>
      <w:adjustRightInd w:val="0"/>
      <w:spacing w:before="60" w:after="60"/>
    </w:pPr>
    <w:rPr>
      <w:rFonts w:ascii="EUAlbertina" w:eastAsia="Times New Roman" w:hAnsi="EUAlbertina" w:cs="Times New Roman"/>
      <w:sz w:val="24"/>
      <w:szCs w:val="24"/>
      <w:lang w:eastAsia="cs-CZ"/>
    </w:rPr>
  </w:style>
  <w:style w:type="character" w:styleId="Hypertextovodkaz">
    <w:name w:val="Hyperlink"/>
    <w:basedOn w:val="Standardnpsmoodstavce"/>
    <w:uiPriority w:val="99"/>
    <w:unhideWhenUsed/>
    <w:rsid w:val="00C06C04"/>
    <w:rPr>
      <w:color w:val="0000FF" w:themeColor="hyperlink"/>
      <w:u w:val="single"/>
    </w:rPr>
  </w:style>
  <w:style w:type="paragraph" w:styleId="Zkladntext">
    <w:name w:val="Body Text"/>
    <w:basedOn w:val="Normln"/>
    <w:link w:val="ZkladntextChar"/>
    <w:uiPriority w:val="99"/>
    <w:semiHidden/>
    <w:unhideWhenUsed/>
    <w:rsid w:val="00C06C04"/>
    <w:pPr>
      <w:spacing w:after="120"/>
      <w:jc w:val="both"/>
    </w:pPr>
    <w:rPr>
      <w:rFonts w:ascii="Times New Roman" w:eastAsia="Times New Roman" w:hAnsi="Times New Roman" w:cs="Times New Roman"/>
      <w:sz w:val="24"/>
      <w:szCs w:val="20"/>
      <w:lang w:val="x-none" w:eastAsia="cs-CZ"/>
    </w:rPr>
  </w:style>
  <w:style w:type="character" w:customStyle="1" w:styleId="ZkladntextChar">
    <w:name w:val="Základní text Char"/>
    <w:basedOn w:val="Standardnpsmoodstavce"/>
    <w:link w:val="Zkladntext"/>
    <w:uiPriority w:val="99"/>
    <w:semiHidden/>
    <w:rsid w:val="00C06C04"/>
    <w:rPr>
      <w:rFonts w:ascii="Times New Roman" w:eastAsia="Times New Roman" w:hAnsi="Times New Roman" w:cs="Times New Roman"/>
      <w:sz w:val="24"/>
      <w:szCs w:val="20"/>
      <w:lang w:val="x-none" w:eastAsia="cs-CZ"/>
    </w:rPr>
  </w:style>
  <w:style w:type="paragraph" w:styleId="Bezmezer">
    <w:name w:val="No Spacing"/>
    <w:aliases w:val="TNR"/>
    <w:uiPriority w:val="1"/>
    <w:qFormat/>
    <w:rsid w:val="008F4C06"/>
    <w:pPr>
      <w:spacing w:after="0" w:line="240" w:lineRule="auto"/>
    </w:pPr>
    <w:rPr>
      <w:rFonts w:ascii="Calibri" w:eastAsia="Calibri" w:hAnsi="Calibri" w:cs="Times New Roman"/>
    </w:rPr>
  </w:style>
  <w:style w:type="paragraph" w:styleId="Nzev">
    <w:name w:val="Title"/>
    <w:basedOn w:val="Normln"/>
    <w:next w:val="Normln"/>
    <w:link w:val="NzevChar"/>
    <w:uiPriority w:val="10"/>
    <w:qFormat/>
    <w:rsid w:val="00CD674B"/>
    <w:pPr>
      <w:numPr>
        <w:numId w:val="9"/>
      </w:numPr>
      <w:spacing w:before="240" w:after="60" w:line="276" w:lineRule="auto"/>
      <w:ind w:left="357" w:hanging="357"/>
      <w:jc w:val="both"/>
      <w:outlineLvl w:val="0"/>
    </w:pPr>
    <w:rPr>
      <w:rFonts w:eastAsia="Times New Roman" w:cs="Cambria"/>
      <w:b/>
      <w:caps/>
      <w:kern w:val="28"/>
      <w:szCs w:val="32"/>
    </w:rPr>
  </w:style>
  <w:style w:type="character" w:customStyle="1" w:styleId="NzevChar">
    <w:name w:val="Název Char"/>
    <w:basedOn w:val="Standardnpsmoodstavce"/>
    <w:link w:val="Nzev"/>
    <w:uiPriority w:val="10"/>
    <w:rsid w:val="00CD674B"/>
    <w:rPr>
      <w:rFonts w:ascii="Arial" w:eastAsia="Times New Roman" w:hAnsi="Arial" w:cs="Cambria"/>
      <w:b/>
      <w:caps/>
      <w:kern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280852">
      <w:bodyDiv w:val="1"/>
      <w:marLeft w:val="0"/>
      <w:marRight w:val="0"/>
      <w:marTop w:val="0"/>
      <w:marBottom w:val="0"/>
      <w:divBdr>
        <w:top w:val="none" w:sz="0" w:space="0" w:color="auto"/>
        <w:left w:val="none" w:sz="0" w:space="0" w:color="auto"/>
        <w:bottom w:val="none" w:sz="0" w:space="0" w:color="auto"/>
        <w:right w:val="none" w:sz="0" w:space="0" w:color="auto"/>
      </w:divBdr>
    </w:div>
    <w:div w:id="933589137">
      <w:bodyDiv w:val="1"/>
      <w:marLeft w:val="0"/>
      <w:marRight w:val="0"/>
      <w:marTop w:val="0"/>
      <w:marBottom w:val="0"/>
      <w:divBdr>
        <w:top w:val="none" w:sz="0" w:space="0" w:color="auto"/>
        <w:left w:val="none" w:sz="0" w:space="0" w:color="auto"/>
        <w:bottom w:val="none" w:sz="0" w:space="0" w:color="auto"/>
        <w:right w:val="none" w:sz="0" w:space="0" w:color="auto"/>
      </w:divBdr>
    </w:div>
    <w:div w:id="996226477">
      <w:bodyDiv w:val="1"/>
      <w:marLeft w:val="0"/>
      <w:marRight w:val="0"/>
      <w:marTop w:val="0"/>
      <w:marBottom w:val="0"/>
      <w:divBdr>
        <w:top w:val="none" w:sz="0" w:space="0" w:color="auto"/>
        <w:left w:val="none" w:sz="0" w:space="0" w:color="auto"/>
        <w:bottom w:val="none" w:sz="0" w:space="0" w:color="auto"/>
        <w:right w:val="none" w:sz="0" w:space="0" w:color="auto"/>
      </w:divBdr>
    </w:div>
    <w:div w:id="1285162646">
      <w:bodyDiv w:val="1"/>
      <w:marLeft w:val="0"/>
      <w:marRight w:val="0"/>
      <w:marTop w:val="0"/>
      <w:marBottom w:val="0"/>
      <w:divBdr>
        <w:top w:val="none" w:sz="0" w:space="0" w:color="auto"/>
        <w:left w:val="none" w:sz="0" w:space="0" w:color="auto"/>
        <w:bottom w:val="none" w:sz="0" w:space="0" w:color="auto"/>
        <w:right w:val="none" w:sz="0" w:space="0" w:color="auto"/>
      </w:divBdr>
    </w:div>
    <w:div w:id="1680698592">
      <w:bodyDiv w:val="1"/>
      <w:marLeft w:val="0"/>
      <w:marRight w:val="0"/>
      <w:marTop w:val="0"/>
      <w:marBottom w:val="0"/>
      <w:divBdr>
        <w:top w:val="none" w:sz="0" w:space="0" w:color="auto"/>
        <w:left w:val="none" w:sz="0" w:space="0" w:color="auto"/>
        <w:bottom w:val="none" w:sz="0" w:space="0" w:color="auto"/>
        <w:right w:val="none" w:sz="0" w:space="0" w:color="auto"/>
      </w:divBdr>
    </w:div>
    <w:div w:id="1763986557">
      <w:bodyDiv w:val="1"/>
      <w:marLeft w:val="0"/>
      <w:marRight w:val="0"/>
      <w:marTop w:val="0"/>
      <w:marBottom w:val="0"/>
      <w:divBdr>
        <w:top w:val="none" w:sz="0" w:space="0" w:color="auto"/>
        <w:left w:val="none" w:sz="0" w:space="0" w:color="auto"/>
        <w:bottom w:val="none" w:sz="0" w:space="0" w:color="auto"/>
        <w:right w:val="none" w:sz="0" w:space="0" w:color="auto"/>
      </w:divBdr>
      <w:divsChild>
        <w:div w:id="53899272">
          <w:marLeft w:val="720"/>
          <w:marRight w:val="0"/>
          <w:marTop w:val="48"/>
          <w:marBottom w:val="0"/>
          <w:divBdr>
            <w:top w:val="single" w:sz="2" w:space="0" w:color="CCCCCC"/>
            <w:left w:val="single" w:sz="2" w:space="0" w:color="CCCCCC"/>
            <w:bottom w:val="single" w:sz="2" w:space="0" w:color="CCCCCC"/>
            <w:right w:val="single" w:sz="2" w:space="0" w:color="CCCCCC"/>
          </w:divBdr>
        </w:div>
        <w:div w:id="389883816">
          <w:marLeft w:val="720"/>
          <w:marRight w:val="0"/>
          <w:marTop w:val="48"/>
          <w:marBottom w:val="0"/>
          <w:divBdr>
            <w:top w:val="single" w:sz="2" w:space="0" w:color="CCCCCC"/>
            <w:left w:val="single" w:sz="2" w:space="0" w:color="CCCCCC"/>
            <w:bottom w:val="single" w:sz="2" w:space="0" w:color="CCCCCC"/>
            <w:right w:val="single" w:sz="2" w:space="0" w:color="CCCCCC"/>
          </w:divBdr>
        </w:div>
        <w:div w:id="1580746982">
          <w:marLeft w:val="720"/>
          <w:marRight w:val="0"/>
          <w:marTop w:val="48"/>
          <w:marBottom w:val="0"/>
          <w:divBdr>
            <w:top w:val="single" w:sz="2" w:space="0" w:color="CCCCCC"/>
            <w:left w:val="single" w:sz="2" w:space="0" w:color="CCCCCC"/>
            <w:bottom w:val="single" w:sz="2" w:space="0" w:color="CCCCCC"/>
            <w:right w:val="single" w:sz="2" w:space="0" w:color="CCCCCC"/>
          </w:divBdr>
        </w:div>
        <w:div w:id="1260872695">
          <w:marLeft w:val="720"/>
          <w:marRight w:val="0"/>
          <w:marTop w:val="48"/>
          <w:marBottom w:val="0"/>
          <w:divBdr>
            <w:top w:val="single" w:sz="2" w:space="0" w:color="CCCCCC"/>
            <w:left w:val="single" w:sz="2" w:space="0" w:color="CCCCCC"/>
            <w:bottom w:val="single" w:sz="2" w:space="0" w:color="CCCCCC"/>
            <w:right w:val="single" w:sz="2" w:space="0" w:color="CCCCCC"/>
          </w:divBdr>
        </w:div>
        <w:div w:id="805315412">
          <w:marLeft w:val="720"/>
          <w:marRight w:val="0"/>
          <w:marTop w:val="48"/>
          <w:marBottom w:val="0"/>
          <w:divBdr>
            <w:top w:val="single" w:sz="2" w:space="0" w:color="CCCCCC"/>
            <w:left w:val="single" w:sz="2" w:space="0" w:color="CCCCCC"/>
            <w:bottom w:val="single" w:sz="2" w:space="0" w:color="CCCCCC"/>
            <w:right w:val="single" w:sz="2" w:space="0" w:color="CCCCCC"/>
          </w:divBdr>
        </w:div>
      </w:divsChild>
    </w:div>
    <w:div w:id="179328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artin.mares@mze.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BC188-2F67-4D05-8262-F49CC8DB3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2104</Words>
  <Characters>12417</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14493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Žnivová Martina</dc:creator>
  <cp:lastModifiedBy>Kordová Šárka</cp:lastModifiedBy>
  <cp:revision>3</cp:revision>
  <cp:lastPrinted>2019-03-12T12:31:00Z</cp:lastPrinted>
  <dcterms:created xsi:type="dcterms:W3CDTF">2019-04-24T06:01:00Z</dcterms:created>
  <dcterms:modified xsi:type="dcterms:W3CDTF">2019-04-24T06:09:00Z</dcterms:modified>
</cp:coreProperties>
</file>