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9BA8D" w14:textId="77777777" w:rsidR="00074441" w:rsidRPr="00C50732" w:rsidRDefault="00074441" w:rsidP="00074441">
      <w:pPr>
        <w:rPr>
          <w:rFonts w:ascii="Times New Roman" w:hAnsi="Times New Roman" w:cs="Times New Roman"/>
          <w:sz w:val="28"/>
          <w:szCs w:val="28"/>
        </w:rPr>
      </w:pPr>
    </w:p>
    <w:p w14:paraId="5C867D07" w14:textId="77777777" w:rsidR="00074441" w:rsidRPr="00C50732" w:rsidRDefault="00074441" w:rsidP="000744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732">
        <w:rPr>
          <w:rFonts w:ascii="Times New Roman" w:hAnsi="Times New Roman" w:cs="Times New Roman"/>
          <w:b/>
          <w:sz w:val="28"/>
          <w:szCs w:val="28"/>
        </w:rPr>
        <w:t>PŘEDKLÁDACÍ ZPRÁVA</w:t>
      </w:r>
    </w:p>
    <w:p w14:paraId="31B199D6" w14:textId="77777777" w:rsidR="00074441" w:rsidRDefault="00074441" w:rsidP="00074441"/>
    <w:p w14:paraId="05677186" w14:textId="77777777" w:rsidR="00074441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>Ministerstvo průmyslu a obchodu předkládá návrh zákona o stanovení rámce opatření pro posílení evropského ekosystému výroby technologií pro nulové čisté emise, a o změně souvisejících zákonů.</w:t>
      </w:r>
    </w:p>
    <w:p w14:paraId="6C7ADFCB" w14:textId="6CEB449F" w:rsidR="00074441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>Hlavním důvodem předložení je adaptace českého právního řádu na nové nařízení Evropského parlamentu a Rady (EU) 2024/1735 kterým se zřizuje rámec opatření pro posílení evropského ekosystému výroby technologií pro nulové čisté emise a mění nařízení (EU) 2018/1724 (dále jen</w:t>
      </w:r>
      <w:r w:rsidR="00C50732" w:rsidRPr="00C50732">
        <w:rPr>
          <w:rFonts w:ascii="Times New Roman" w:hAnsi="Times New Roman" w:cs="Times New Roman"/>
        </w:rPr>
        <w:t xml:space="preserve"> „</w:t>
      </w:r>
      <w:r w:rsidRPr="00C50732">
        <w:rPr>
          <w:rFonts w:ascii="Times New Roman" w:hAnsi="Times New Roman" w:cs="Times New Roman"/>
        </w:rPr>
        <w:t xml:space="preserve">nařízení o průmyslu pro nulové čisté emise"). </w:t>
      </w:r>
    </w:p>
    <w:p w14:paraId="40E85ED7" w14:textId="325DDDA6" w:rsidR="00074441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>Nařízení o průmyslu pro nulové čisté emise je zcela novým předpisem tohoto druhu na úrovni Evropské Unie i České republiky.  Nařízení o průmyslu pro nulové čisté emise se soustředí komplexně na podporu výroby vyjmenovaných technologií a do budoucna i jejich významných součástí</w:t>
      </w:r>
      <w:r w:rsidR="00C50732">
        <w:rPr>
          <w:rFonts w:ascii="Times New Roman" w:hAnsi="Times New Roman" w:cs="Times New Roman"/>
        </w:rPr>
        <w:t xml:space="preserve"> (komponent)</w:t>
      </w:r>
      <w:r w:rsidRPr="00C50732">
        <w:rPr>
          <w:rFonts w:ascii="Times New Roman" w:hAnsi="Times New Roman" w:cs="Times New Roman"/>
        </w:rPr>
        <w:t xml:space="preserve"> s indikativním cílem dosáhnout zajištění 40% evropské spotřeby těchto technologií výrobou právě na území EU. Nevztahuje se výlučně na aspekty </w:t>
      </w:r>
      <w:r w:rsidR="003B1192" w:rsidRPr="00C50732">
        <w:rPr>
          <w:rFonts w:ascii="Times New Roman" w:hAnsi="Times New Roman" w:cs="Times New Roman"/>
        </w:rPr>
        <w:t>zkrácení povolovacích procesů pro výstavbu zařízení na výrobu vyjmenovaných technologií</w:t>
      </w:r>
      <w:r w:rsidRPr="00C50732">
        <w:rPr>
          <w:rFonts w:ascii="Times New Roman" w:hAnsi="Times New Roman" w:cs="Times New Roman"/>
        </w:rPr>
        <w:t xml:space="preserve">, ale pokrývá řadu dalších </w:t>
      </w:r>
      <w:r w:rsidR="003B1192" w:rsidRPr="00C50732">
        <w:rPr>
          <w:rFonts w:ascii="Times New Roman" w:hAnsi="Times New Roman" w:cs="Times New Roman"/>
        </w:rPr>
        <w:t xml:space="preserve">oblastí, jako je zajištění dostatečných kapacit pro zachytávání CO2, </w:t>
      </w:r>
      <w:r w:rsidR="00D9032A" w:rsidRPr="00C50732">
        <w:rPr>
          <w:rFonts w:ascii="Times New Roman" w:hAnsi="Times New Roman" w:cs="Times New Roman"/>
        </w:rPr>
        <w:t xml:space="preserve">zadávání </w:t>
      </w:r>
      <w:r w:rsidR="003B1192" w:rsidRPr="00C50732">
        <w:rPr>
          <w:rFonts w:ascii="Times New Roman" w:hAnsi="Times New Roman" w:cs="Times New Roman"/>
        </w:rPr>
        <w:t>veřejn</w:t>
      </w:r>
      <w:r w:rsidR="00D9032A" w:rsidRPr="00C50732">
        <w:rPr>
          <w:rFonts w:ascii="Times New Roman" w:hAnsi="Times New Roman" w:cs="Times New Roman"/>
        </w:rPr>
        <w:t>ých</w:t>
      </w:r>
      <w:r w:rsidR="003B1192" w:rsidRPr="00C50732">
        <w:rPr>
          <w:rFonts w:ascii="Times New Roman" w:hAnsi="Times New Roman" w:cs="Times New Roman"/>
        </w:rPr>
        <w:t xml:space="preserve"> za</w:t>
      </w:r>
      <w:r w:rsidR="00D9032A" w:rsidRPr="00C50732">
        <w:rPr>
          <w:rFonts w:ascii="Times New Roman" w:hAnsi="Times New Roman" w:cs="Times New Roman"/>
        </w:rPr>
        <w:t>kázek</w:t>
      </w:r>
      <w:r w:rsidR="003B1192" w:rsidRPr="00C50732">
        <w:rPr>
          <w:rFonts w:ascii="Times New Roman" w:hAnsi="Times New Roman" w:cs="Times New Roman"/>
        </w:rPr>
        <w:t>, zřizování regulačních pískovišť nebo údolí pro urychlení zavádění technologií pro nulové čisté emise a také oblast vzdělávání v průmyslových odvětvích technologií pro nulové čisté emise</w:t>
      </w:r>
      <w:r w:rsidRPr="00C50732">
        <w:rPr>
          <w:rFonts w:ascii="Times New Roman" w:hAnsi="Times New Roman" w:cs="Times New Roman"/>
        </w:rPr>
        <w:t xml:space="preserve">. </w:t>
      </w:r>
      <w:r w:rsidR="00D417A0" w:rsidRPr="00C50732">
        <w:rPr>
          <w:rFonts w:ascii="Times New Roman" w:hAnsi="Times New Roman" w:cs="Times New Roman"/>
        </w:rPr>
        <w:t>Výše uvedené oblasti jsou v českém právním řádu již dílčím způsobem řešeny, nicméně a</w:t>
      </w:r>
      <w:r w:rsidRPr="00C50732">
        <w:rPr>
          <w:rFonts w:ascii="Times New Roman" w:hAnsi="Times New Roman" w:cs="Times New Roman"/>
        </w:rPr>
        <w:t xml:space="preserve">daptace českého právního řádu na nové nařízení prostřednictvím </w:t>
      </w:r>
      <w:r w:rsidR="00D417A0" w:rsidRPr="00C50732">
        <w:rPr>
          <w:rFonts w:ascii="Times New Roman" w:hAnsi="Times New Roman" w:cs="Times New Roman"/>
        </w:rPr>
        <w:t xml:space="preserve">prostých novelizací existujících předpisů </w:t>
      </w:r>
      <w:r w:rsidR="003B1192" w:rsidRPr="00C50732">
        <w:rPr>
          <w:rFonts w:ascii="Times New Roman" w:hAnsi="Times New Roman" w:cs="Times New Roman"/>
        </w:rPr>
        <w:t>se</w:t>
      </w:r>
      <w:r w:rsidRPr="00C50732">
        <w:rPr>
          <w:rFonts w:ascii="Times New Roman" w:hAnsi="Times New Roman" w:cs="Times New Roman"/>
        </w:rPr>
        <w:t xml:space="preserve"> jeví jako nevyhovující, a proto je navrhována adaptace formou samostatné zákonné úpravy. </w:t>
      </w:r>
    </w:p>
    <w:p w14:paraId="2D8B2DC1" w14:textId="4C3628D7" w:rsidR="00074441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 xml:space="preserve">Navrhovaná úprava se omezuje pouze na aspekty, které bylo potřeba upravit pro řádné zajištění aplikace nařízení na národní úrovni a neobsahuje prvky, které by </w:t>
      </w:r>
      <w:r w:rsidR="00C50732">
        <w:rPr>
          <w:rFonts w:ascii="Times New Roman" w:hAnsi="Times New Roman" w:cs="Times New Roman"/>
        </w:rPr>
        <w:t xml:space="preserve">překračovaly </w:t>
      </w:r>
      <w:r w:rsidRPr="00C50732">
        <w:rPr>
          <w:rFonts w:ascii="Times New Roman" w:hAnsi="Times New Roman" w:cs="Times New Roman"/>
        </w:rPr>
        <w:t>rámec úpravy předmětného nařízení. Navrhovaný zákon vymezuje institucionální zajištění aplikace nařízení na národní úrovn</w:t>
      </w:r>
      <w:r w:rsidR="00D9032A" w:rsidRPr="00C50732">
        <w:rPr>
          <w:rFonts w:ascii="Times New Roman" w:hAnsi="Times New Roman" w:cs="Times New Roman"/>
        </w:rPr>
        <w:t>i</w:t>
      </w:r>
      <w:r w:rsidRPr="00C50732">
        <w:rPr>
          <w:rFonts w:ascii="Times New Roman" w:hAnsi="Times New Roman" w:cs="Times New Roman"/>
        </w:rPr>
        <w:t xml:space="preserve"> a </w:t>
      </w:r>
      <w:r w:rsidR="00D9032A" w:rsidRPr="00C50732">
        <w:rPr>
          <w:rFonts w:ascii="Times New Roman" w:hAnsi="Times New Roman" w:cs="Times New Roman"/>
        </w:rPr>
        <w:t xml:space="preserve">určení </w:t>
      </w:r>
      <w:r w:rsidRPr="00C50732">
        <w:rPr>
          <w:rFonts w:ascii="Times New Roman" w:hAnsi="Times New Roman" w:cs="Times New Roman"/>
        </w:rPr>
        <w:t>jednotn</w:t>
      </w:r>
      <w:r w:rsidR="00C50732">
        <w:rPr>
          <w:rFonts w:ascii="Times New Roman" w:hAnsi="Times New Roman" w:cs="Times New Roman"/>
        </w:rPr>
        <w:t>ých</w:t>
      </w:r>
      <w:r w:rsidRPr="00C50732">
        <w:rPr>
          <w:rFonts w:ascii="Times New Roman" w:hAnsi="Times New Roman" w:cs="Times New Roman"/>
        </w:rPr>
        <w:t xml:space="preserve"> kontaktní</w:t>
      </w:r>
      <w:r w:rsidR="00C50732">
        <w:rPr>
          <w:rFonts w:ascii="Times New Roman" w:hAnsi="Times New Roman" w:cs="Times New Roman"/>
        </w:rPr>
        <w:t>ch</w:t>
      </w:r>
      <w:r w:rsidRPr="00C50732">
        <w:rPr>
          <w:rFonts w:ascii="Times New Roman" w:hAnsi="Times New Roman" w:cs="Times New Roman"/>
        </w:rPr>
        <w:t xml:space="preserve"> míst, a upřesňuje jejich pravomoci. </w:t>
      </w:r>
      <w:r w:rsidR="00D9032A" w:rsidRPr="00C50732">
        <w:rPr>
          <w:rFonts w:ascii="Times New Roman" w:hAnsi="Times New Roman" w:cs="Times New Roman"/>
        </w:rPr>
        <w:t>Dále stanovuje požadavky na proces administrace a schvalování žádostí o uznání projektu výroby technologií pro nulové čisté emise jako strategický</w:t>
      </w:r>
      <w:r w:rsidRPr="00C50732">
        <w:rPr>
          <w:rFonts w:ascii="Times New Roman" w:hAnsi="Times New Roman" w:cs="Times New Roman"/>
        </w:rPr>
        <w:t xml:space="preserve">. </w:t>
      </w:r>
      <w:r w:rsidR="00C50732">
        <w:rPr>
          <w:rFonts w:ascii="Times New Roman" w:hAnsi="Times New Roman" w:cs="Times New Roman"/>
        </w:rPr>
        <w:t>Ve z</w:t>
      </w:r>
      <w:r w:rsidRPr="00C50732">
        <w:rPr>
          <w:rFonts w:ascii="Times New Roman" w:hAnsi="Times New Roman" w:cs="Times New Roman"/>
        </w:rPr>
        <w:t>měnov</w:t>
      </w:r>
      <w:r w:rsidR="00C50732">
        <w:rPr>
          <w:rFonts w:ascii="Times New Roman" w:hAnsi="Times New Roman" w:cs="Times New Roman"/>
        </w:rPr>
        <w:t>ých</w:t>
      </w:r>
      <w:r w:rsidRPr="00C50732">
        <w:rPr>
          <w:rFonts w:ascii="Times New Roman" w:hAnsi="Times New Roman" w:cs="Times New Roman"/>
        </w:rPr>
        <w:t xml:space="preserve"> část</w:t>
      </w:r>
      <w:r w:rsidR="00C50732">
        <w:rPr>
          <w:rFonts w:ascii="Times New Roman" w:hAnsi="Times New Roman" w:cs="Times New Roman"/>
        </w:rPr>
        <w:t>ech</w:t>
      </w:r>
      <w:r w:rsidRPr="00C50732">
        <w:rPr>
          <w:rFonts w:ascii="Times New Roman" w:hAnsi="Times New Roman" w:cs="Times New Roman"/>
        </w:rPr>
        <w:t xml:space="preserve"> navrhovaného zákona </w:t>
      </w:r>
      <w:r w:rsidR="00C50732">
        <w:rPr>
          <w:rFonts w:ascii="Times New Roman" w:hAnsi="Times New Roman" w:cs="Times New Roman"/>
        </w:rPr>
        <w:t xml:space="preserve">jsou </w:t>
      </w:r>
      <w:r w:rsidRPr="00C50732">
        <w:rPr>
          <w:rFonts w:ascii="Times New Roman" w:hAnsi="Times New Roman" w:cs="Times New Roman"/>
        </w:rPr>
        <w:t xml:space="preserve">pak </w:t>
      </w:r>
      <w:r w:rsidR="00C50732">
        <w:rPr>
          <w:rFonts w:ascii="Times New Roman" w:hAnsi="Times New Roman" w:cs="Times New Roman"/>
        </w:rPr>
        <w:t>obsaženy</w:t>
      </w:r>
      <w:r w:rsidRPr="00C50732">
        <w:rPr>
          <w:rFonts w:ascii="Times New Roman" w:hAnsi="Times New Roman" w:cs="Times New Roman"/>
        </w:rPr>
        <w:t xml:space="preserve"> změny stávající</w:t>
      </w:r>
      <w:r w:rsidR="00C50732">
        <w:rPr>
          <w:rFonts w:ascii="Times New Roman" w:hAnsi="Times New Roman" w:cs="Times New Roman"/>
        </w:rPr>
        <w:t xml:space="preserve">ch právních předpisů (zákona č. 416/2009 Sb., </w:t>
      </w:r>
      <w:r w:rsidR="00C50732" w:rsidRPr="00C50732">
        <w:rPr>
          <w:rFonts w:ascii="Times New Roman" w:hAnsi="Times New Roman" w:cs="Times New Roman"/>
        </w:rPr>
        <w:t>o urychlení výstavby strategicky významné infrastruktury</w:t>
      </w:r>
      <w:r w:rsidR="00C50732">
        <w:rPr>
          <w:rFonts w:ascii="Times New Roman" w:hAnsi="Times New Roman" w:cs="Times New Roman"/>
        </w:rPr>
        <w:t>, zákona č. 283/2021 Sb., stavební zákon</w:t>
      </w:r>
      <w:r w:rsidR="0060615A">
        <w:rPr>
          <w:rFonts w:ascii="Times New Roman" w:hAnsi="Times New Roman" w:cs="Times New Roman"/>
        </w:rPr>
        <w:t xml:space="preserve"> a </w:t>
      </w:r>
      <w:r w:rsidR="00510EB6">
        <w:rPr>
          <w:rFonts w:ascii="Times New Roman" w:hAnsi="Times New Roman" w:cs="Times New Roman"/>
        </w:rPr>
        <w:t>z</w:t>
      </w:r>
      <w:r w:rsidR="00510EB6" w:rsidRPr="00510EB6">
        <w:rPr>
          <w:rFonts w:ascii="Times New Roman" w:hAnsi="Times New Roman" w:cs="Times New Roman"/>
        </w:rPr>
        <w:t>ákon</w:t>
      </w:r>
      <w:r w:rsidR="00510EB6">
        <w:rPr>
          <w:rFonts w:ascii="Times New Roman" w:hAnsi="Times New Roman" w:cs="Times New Roman"/>
        </w:rPr>
        <w:t>a</w:t>
      </w:r>
      <w:r w:rsidR="00510EB6" w:rsidRPr="00510EB6">
        <w:rPr>
          <w:rFonts w:ascii="Times New Roman" w:hAnsi="Times New Roman" w:cs="Times New Roman"/>
        </w:rPr>
        <w:t xml:space="preserve"> č. 100/2001 Sb., o posuzování vlivů na životní prostředí</w:t>
      </w:r>
      <w:r w:rsidR="00510EB6">
        <w:rPr>
          <w:rFonts w:ascii="Times New Roman" w:hAnsi="Times New Roman" w:cs="Times New Roman"/>
        </w:rPr>
        <w:t>)</w:t>
      </w:r>
      <w:r w:rsidRPr="00C50732">
        <w:rPr>
          <w:rFonts w:ascii="Times New Roman" w:hAnsi="Times New Roman" w:cs="Times New Roman"/>
        </w:rPr>
        <w:t xml:space="preserve">, které je nutno provést v souvislosti s adaptací, a to s ohledem na zakotvení </w:t>
      </w:r>
      <w:r w:rsidR="00D9032A" w:rsidRPr="00C50732">
        <w:rPr>
          <w:rFonts w:ascii="Times New Roman" w:hAnsi="Times New Roman" w:cs="Times New Roman"/>
        </w:rPr>
        <w:t xml:space="preserve">přesné specifikace povinností a </w:t>
      </w:r>
      <w:r w:rsidRPr="00C50732">
        <w:rPr>
          <w:rFonts w:ascii="Times New Roman" w:hAnsi="Times New Roman" w:cs="Times New Roman"/>
        </w:rPr>
        <w:t xml:space="preserve">pravomocí jednotlivých </w:t>
      </w:r>
      <w:r w:rsidR="00D9032A" w:rsidRPr="00C50732">
        <w:rPr>
          <w:rFonts w:ascii="Times New Roman" w:hAnsi="Times New Roman" w:cs="Times New Roman"/>
        </w:rPr>
        <w:t xml:space="preserve">státních </w:t>
      </w:r>
      <w:r w:rsidRPr="00C50732">
        <w:rPr>
          <w:rFonts w:ascii="Times New Roman" w:hAnsi="Times New Roman" w:cs="Times New Roman"/>
        </w:rPr>
        <w:t xml:space="preserve">orgánů v příslušných specifických zákonech. Vzhledem k omezení navrhované úpravy výlučně na aspekty týkající se adaptace, byla uplatněna výjimka z povinnosti zpracovávat RIA na základě čl. 5 bodu 5.5 Obecných zásad pro hodnocení dopadů regulace (RIA). </w:t>
      </w:r>
    </w:p>
    <w:p w14:paraId="4F67222C" w14:textId="77777777" w:rsidR="00074441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 xml:space="preserve">Aplikace nařízení </w:t>
      </w:r>
      <w:r w:rsidR="00D9032A" w:rsidRPr="00C50732">
        <w:rPr>
          <w:rFonts w:ascii="Times New Roman" w:hAnsi="Times New Roman" w:cs="Times New Roman"/>
        </w:rPr>
        <w:t>o průmyslu pro nulové čisté emise</w:t>
      </w:r>
      <w:r w:rsidRPr="00C50732">
        <w:rPr>
          <w:rFonts w:ascii="Times New Roman" w:hAnsi="Times New Roman" w:cs="Times New Roman"/>
        </w:rPr>
        <w:t xml:space="preserve"> na národní úrovni bude pro řadu orgánů představovat rozšíření jejich stávající působnosti. S tím se váže potřeba zajistit dostatečné personální a finanční zajištění nové agendy. Nicméně vzhledem k tomu, že </w:t>
      </w:r>
      <w:r w:rsidR="00881066" w:rsidRPr="00C50732">
        <w:rPr>
          <w:rFonts w:ascii="Times New Roman" w:hAnsi="Times New Roman" w:cs="Times New Roman"/>
        </w:rPr>
        <w:t xml:space="preserve">dle </w:t>
      </w:r>
      <w:r w:rsidRPr="00C50732">
        <w:rPr>
          <w:rFonts w:ascii="Times New Roman" w:hAnsi="Times New Roman" w:cs="Times New Roman"/>
        </w:rPr>
        <w:t xml:space="preserve">nařízení budou teprve postupně přijímány prostřednictvím aktů Komise v přenesené pravomoci (dále jen "akty Komise"), nelze v tuto chvíli specifikovat rozsah nárůstu nové agendy jednotlivých orgánů. Tento bude možné specifikovat až po přijetí předmětných aktů Komise. Personální a finanční potřeby jednotlivých orgánů pro účely řádného zajištění nové agendy bude tedy potřeba vyhodnocovat průběžně v návaznosti na přijímání </w:t>
      </w:r>
      <w:r w:rsidRPr="00C50732">
        <w:rPr>
          <w:rFonts w:ascii="Times New Roman" w:hAnsi="Times New Roman" w:cs="Times New Roman"/>
        </w:rPr>
        <w:lastRenderedPageBreak/>
        <w:t xml:space="preserve">jednotlivých aktů Komise. Výjimku tvoří </w:t>
      </w:r>
      <w:r w:rsidR="00881066" w:rsidRPr="00C50732">
        <w:rPr>
          <w:rFonts w:ascii="Times New Roman" w:hAnsi="Times New Roman" w:cs="Times New Roman"/>
        </w:rPr>
        <w:t>Dopravní a energetický stavební úřad (DESÚ)</w:t>
      </w:r>
      <w:r w:rsidRPr="00C50732">
        <w:rPr>
          <w:rFonts w:ascii="Times New Roman" w:hAnsi="Times New Roman" w:cs="Times New Roman"/>
        </w:rPr>
        <w:t xml:space="preserve">, který bude pověřen výkonem činnosti </w:t>
      </w:r>
      <w:r w:rsidR="00881066" w:rsidRPr="00C50732">
        <w:rPr>
          <w:rFonts w:ascii="Times New Roman" w:hAnsi="Times New Roman" w:cs="Times New Roman"/>
        </w:rPr>
        <w:t>jednotného kontaktního místa a zároveň tedy i specializovaného stavebního úřadu pro všechny technologie vyjmenované v příloze nařízení o průmyslu pro nulové čisté emise</w:t>
      </w:r>
      <w:r w:rsidRPr="00C50732">
        <w:rPr>
          <w:rFonts w:ascii="Times New Roman" w:hAnsi="Times New Roman" w:cs="Times New Roman"/>
        </w:rPr>
        <w:t xml:space="preserve">. </w:t>
      </w:r>
      <w:r w:rsidR="00881066" w:rsidRPr="00C50732">
        <w:rPr>
          <w:rFonts w:ascii="Times New Roman" w:hAnsi="Times New Roman" w:cs="Times New Roman"/>
        </w:rPr>
        <w:t>Na základě předběžného odborného odhadu počtu projektů, které budou spadat do působnosti nařízení o průmyslu pro nulové čisté emise, resp. předkládaného zákona</w:t>
      </w:r>
      <w:r w:rsidRPr="00C50732">
        <w:rPr>
          <w:rFonts w:ascii="Times New Roman" w:hAnsi="Times New Roman" w:cs="Times New Roman"/>
        </w:rPr>
        <w:t xml:space="preserve">, lze personální a finanční potřeby tohoto orgánu na nadcházející </w:t>
      </w:r>
      <w:r w:rsidR="00881066" w:rsidRPr="00C50732">
        <w:rPr>
          <w:rFonts w:ascii="Times New Roman" w:hAnsi="Times New Roman" w:cs="Times New Roman"/>
        </w:rPr>
        <w:t>období</w:t>
      </w:r>
      <w:r w:rsidRPr="00C50732">
        <w:rPr>
          <w:rFonts w:ascii="Times New Roman" w:hAnsi="Times New Roman" w:cs="Times New Roman"/>
        </w:rPr>
        <w:t xml:space="preserve"> s určitou mírou konkrétnosti specifikovat již v této fázi</w:t>
      </w:r>
      <w:r w:rsidR="00881066" w:rsidRPr="00C50732">
        <w:rPr>
          <w:rFonts w:ascii="Times New Roman" w:hAnsi="Times New Roman" w:cs="Times New Roman"/>
        </w:rPr>
        <w:t>.</w:t>
      </w:r>
    </w:p>
    <w:p w14:paraId="4296E2C0" w14:textId="77777777" w:rsidR="00074441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 xml:space="preserve">Nařízení o </w:t>
      </w:r>
      <w:r w:rsidR="00881066" w:rsidRPr="00C50732">
        <w:rPr>
          <w:rFonts w:ascii="Times New Roman" w:hAnsi="Times New Roman" w:cs="Times New Roman"/>
        </w:rPr>
        <w:t>průmyslu pro nulové čisté emise</w:t>
      </w:r>
      <w:r w:rsidRPr="00C50732">
        <w:rPr>
          <w:rFonts w:ascii="Times New Roman" w:hAnsi="Times New Roman" w:cs="Times New Roman"/>
        </w:rPr>
        <w:t xml:space="preserve"> je sice účinné již od </w:t>
      </w:r>
      <w:r w:rsidR="00E41EA2" w:rsidRPr="00C50732">
        <w:rPr>
          <w:rFonts w:ascii="Times New Roman" w:hAnsi="Times New Roman" w:cs="Times New Roman"/>
        </w:rPr>
        <w:t>29</w:t>
      </w:r>
      <w:r w:rsidRPr="00C50732">
        <w:rPr>
          <w:rFonts w:ascii="Times New Roman" w:hAnsi="Times New Roman" w:cs="Times New Roman"/>
        </w:rPr>
        <w:t>. červ</w:t>
      </w:r>
      <w:r w:rsidR="00E41EA2" w:rsidRPr="00C50732">
        <w:rPr>
          <w:rFonts w:ascii="Times New Roman" w:hAnsi="Times New Roman" w:cs="Times New Roman"/>
        </w:rPr>
        <w:t>na</w:t>
      </w:r>
      <w:r w:rsidRPr="00C50732">
        <w:rPr>
          <w:rFonts w:ascii="Times New Roman" w:hAnsi="Times New Roman" w:cs="Times New Roman"/>
        </w:rPr>
        <w:t xml:space="preserve"> 2024, v praxi se však jeho aplikovatelnost odví</w:t>
      </w:r>
      <w:r w:rsidR="00E41EA2" w:rsidRPr="00C50732">
        <w:rPr>
          <w:rFonts w:ascii="Times New Roman" w:hAnsi="Times New Roman" w:cs="Times New Roman"/>
        </w:rPr>
        <w:t>jí</w:t>
      </w:r>
      <w:r w:rsidRPr="00C50732">
        <w:rPr>
          <w:rFonts w:ascii="Times New Roman" w:hAnsi="Times New Roman" w:cs="Times New Roman"/>
        </w:rPr>
        <w:t xml:space="preserve"> od </w:t>
      </w:r>
      <w:r w:rsidR="00E41EA2" w:rsidRPr="00C50732">
        <w:rPr>
          <w:rFonts w:ascii="Times New Roman" w:hAnsi="Times New Roman" w:cs="Times New Roman"/>
        </w:rPr>
        <w:t xml:space="preserve">časového rámce stanoveného v těle nařízení pro jednotlivé požadavky. Vzhledem k tomu, že nařízení stanovuje velmi krátké termíny pro plnění vybraných povinností, především pak zajištění jednotného kontaktního místa, </w:t>
      </w:r>
      <w:r w:rsidR="0066658B" w:rsidRPr="00C50732">
        <w:rPr>
          <w:rFonts w:ascii="Times New Roman" w:hAnsi="Times New Roman" w:cs="Times New Roman"/>
        </w:rPr>
        <w:t>národní adaptační legislativa</w:t>
      </w:r>
      <w:r w:rsidRPr="00C50732">
        <w:rPr>
          <w:rFonts w:ascii="Times New Roman" w:hAnsi="Times New Roman" w:cs="Times New Roman"/>
        </w:rPr>
        <w:t xml:space="preserve"> by měla být účinná </w:t>
      </w:r>
      <w:r w:rsidR="0066658B" w:rsidRPr="00C50732">
        <w:rPr>
          <w:rFonts w:ascii="Times New Roman" w:hAnsi="Times New Roman" w:cs="Times New Roman"/>
        </w:rPr>
        <w:t>co nejdříve</w:t>
      </w:r>
      <w:r w:rsidRPr="00C50732">
        <w:rPr>
          <w:rFonts w:ascii="Times New Roman" w:hAnsi="Times New Roman" w:cs="Times New Roman"/>
        </w:rPr>
        <w:t xml:space="preserve">. Proto je navrhováno, aby zákon nabyl účinnosti dnem </w:t>
      </w:r>
      <w:r w:rsidR="0066658B" w:rsidRPr="00C50732">
        <w:rPr>
          <w:rFonts w:ascii="Times New Roman" w:hAnsi="Times New Roman" w:cs="Times New Roman"/>
        </w:rPr>
        <w:t>následujícím po zveřejnění ve Sbírce zákonů ČR.</w:t>
      </w:r>
      <w:r w:rsidRPr="00C50732">
        <w:rPr>
          <w:rFonts w:ascii="Times New Roman" w:hAnsi="Times New Roman" w:cs="Times New Roman"/>
        </w:rPr>
        <w:t xml:space="preserve"> </w:t>
      </w:r>
    </w:p>
    <w:p w14:paraId="3185C7C0" w14:textId="25926F7C" w:rsidR="00074441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 xml:space="preserve">Vzhledem k tomu, že adaptace právního řádu na nařízení </w:t>
      </w:r>
      <w:r w:rsidR="0066658B" w:rsidRPr="00C50732">
        <w:rPr>
          <w:rFonts w:ascii="Times New Roman" w:hAnsi="Times New Roman" w:cs="Times New Roman"/>
        </w:rPr>
        <w:t>o průmyslu pro nulové čisté emise</w:t>
      </w:r>
      <w:r w:rsidRPr="00C50732">
        <w:rPr>
          <w:rFonts w:ascii="Times New Roman" w:hAnsi="Times New Roman" w:cs="Times New Roman"/>
        </w:rPr>
        <w:t xml:space="preserve"> je navržena pouze tak, aby zajistila plnou implementaci tohoto nařízení, neobsahuje ustanovení jdoucí nad rámec povinného rozsahu adaptace, a s ohledem na potřebu přijetí návrhu zákona co nejdříve kvůli lhů</w:t>
      </w:r>
      <w:r w:rsidR="0066658B" w:rsidRPr="00C50732">
        <w:rPr>
          <w:rFonts w:ascii="Times New Roman" w:hAnsi="Times New Roman" w:cs="Times New Roman"/>
        </w:rPr>
        <w:t>tám</w:t>
      </w:r>
      <w:r w:rsidRPr="00C50732">
        <w:rPr>
          <w:rFonts w:ascii="Times New Roman" w:hAnsi="Times New Roman" w:cs="Times New Roman"/>
        </w:rPr>
        <w:t xml:space="preserve"> </w:t>
      </w:r>
      <w:r w:rsidR="0066658B" w:rsidRPr="00C50732">
        <w:rPr>
          <w:rFonts w:ascii="Times New Roman" w:hAnsi="Times New Roman" w:cs="Times New Roman"/>
        </w:rPr>
        <w:t>stanoveným členským státům</w:t>
      </w:r>
      <w:r w:rsidRPr="00C50732">
        <w:rPr>
          <w:rFonts w:ascii="Times New Roman" w:hAnsi="Times New Roman" w:cs="Times New Roman"/>
        </w:rPr>
        <w:t>, navrhuje se požádat Poslaneckou sněmovnu Parlamentu ČR, aby s návrhem zákona vyslovila souhlas již v prvém čtení.</w:t>
      </w:r>
    </w:p>
    <w:p w14:paraId="744CEF15" w14:textId="31E11A11" w:rsidR="006751B8" w:rsidRPr="00C50732" w:rsidRDefault="00074441" w:rsidP="00C50732">
      <w:pPr>
        <w:spacing w:line="293" w:lineRule="auto"/>
        <w:jc w:val="both"/>
        <w:rPr>
          <w:rFonts w:ascii="Times New Roman" w:hAnsi="Times New Roman" w:cs="Times New Roman"/>
        </w:rPr>
      </w:pPr>
      <w:r w:rsidRPr="00C50732">
        <w:rPr>
          <w:rFonts w:ascii="Times New Roman" w:hAnsi="Times New Roman" w:cs="Times New Roman"/>
        </w:rPr>
        <w:t xml:space="preserve">Návrh zákona byl dne </w:t>
      </w:r>
      <w:proofErr w:type="spellStart"/>
      <w:proofErr w:type="gramStart"/>
      <w:r w:rsidRPr="00C50732">
        <w:rPr>
          <w:rFonts w:ascii="Times New Roman" w:hAnsi="Times New Roman" w:cs="Times New Roman"/>
          <w:highlight w:val="yellow"/>
        </w:rPr>
        <w:t>xx</w:t>
      </w:r>
      <w:proofErr w:type="spellEnd"/>
      <w:r w:rsidRPr="00C50732">
        <w:rPr>
          <w:rFonts w:ascii="Times New Roman" w:hAnsi="Times New Roman" w:cs="Times New Roman"/>
          <w:highlight w:val="yellow"/>
        </w:rPr>
        <w:t xml:space="preserve">. </w:t>
      </w:r>
      <w:r w:rsidR="00A040B9" w:rsidRPr="00C50732">
        <w:rPr>
          <w:rFonts w:ascii="Times New Roman" w:hAnsi="Times New Roman" w:cs="Times New Roman"/>
          <w:highlight w:val="yellow"/>
        </w:rPr>
        <w:t>….</w:t>
      </w:r>
      <w:proofErr w:type="gramEnd"/>
      <w:r w:rsidR="00A040B9" w:rsidRPr="00C50732">
        <w:rPr>
          <w:rFonts w:ascii="Times New Roman" w:hAnsi="Times New Roman" w:cs="Times New Roman"/>
          <w:highlight w:val="yellow"/>
        </w:rPr>
        <w:t xml:space="preserve">. </w:t>
      </w:r>
      <w:r w:rsidRPr="00C50732">
        <w:rPr>
          <w:rFonts w:ascii="Times New Roman" w:hAnsi="Times New Roman" w:cs="Times New Roman"/>
          <w:highlight w:val="yellow"/>
        </w:rPr>
        <w:t>202</w:t>
      </w:r>
      <w:r w:rsidR="00A040B9" w:rsidRPr="00C50732">
        <w:rPr>
          <w:rFonts w:ascii="Times New Roman" w:hAnsi="Times New Roman" w:cs="Times New Roman"/>
          <w:highlight w:val="yellow"/>
        </w:rPr>
        <w:t>5</w:t>
      </w:r>
      <w:r w:rsidRPr="00C50732">
        <w:rPr>
          <w:rFonts w:ascii="Times New Roman" w:hAnsi="Times New Roman" w:cs="Times New Roman"/>
          <w:highlight w:val="yellow"/>
        </w:rPr>
        <w:t xml:space="preserve"> r</w:t>
      </w:r>
      <w:r w:rsidRPr="00C50732">
        <w:rPr>
          <w:rFonts w:ascii="Times New Roman" w:hAnsi="Times New Roman" w:cs="Times New Roman"/>
        </w:rPr>
        <w:t xml:space="preserve">ozeslán do mezirezortního připomínkového řízení s lhůtou k uplatnění připomínek </w:t>
      </w:r>
      <w:r w:rsidRPr="00C50732">
        <w:rPr>
          <w:rFonts w:ascii="Times New Roman" w:hAnsi="Times New Roman" w:cs="Times New Roman"/>
          <w:highlight w:val="yellow"/>
        </w:rPr>
        <w:t xml:space="preserve">do </w:t>
      </w:r>
      <w:proofErr w:type="spellStart"/>
      <w:r w:rsidRPr="00C50732">
        <w:rPr>
          <w:rFonts w:ascii="Times New Roman" w:hAnsi="Times New Roman" w:cs="Times New Roman"/>
          <w:highlight w:val="yellow"/>
        </w:rPr>
        <w:t>xx</w:t>
      </w:r>
      <w:proofErr w:type="spellEnd"/>
      <w:r w:rsidRPr="00C50732">
        <w:rPr>
          <w:rFonts w:ascii="Times New Roman" w:hAnsi="Times New Roman" w:cs="Times New Roman"/>
          <w:highlight w:val="yellow"/>
        </w:rPr>
        <w:t xml:space="preserve">. </w:t>
      </w:r>
      <w:r w:rsidR="00DD1188">
        <w:rPr>
          <w:rFonts w:ascii="Times New Roman" w:hAnsi="Times New Roman" w:cs="Times New Roman"/>
          <w:highlight w:val="yellow"/>
        </w:rPr>
        <w:t>března</w:t>
      </w:r>
      <w:r w:rsidR="00A040B9" w:rsidRPr="00C50732">
        <w:rPr>
          <w:rFonts w:ascii="Times New Roman" w:hAnsi="Times New Roman" w:cs="Times New Roman"/>
          <w:highlight w:val="yellow"/>
        </w:rPr>
        <w:t xml:space="preserve"> </w:t>
      </w:r>
      <w:r w:rsidRPr="00C50732">
        <w:rPr>
          <w:rFonts w:ascii="Times New Roman" w:hAnsi="Times New Roman" w:cs="Times New Roman"/>
          <w:highlight w:val="yellow"/>
        </w:rPr>
        <w:t>2025.</w:t>
      </w:r>
      <w:r w:rsidRPr="00C50732">
        <w:rPr>
          <w:rFonts w:ascii="Times New Roman" w:hAnsi="Times New Roman" w:cs="Times New Roman"/>
        </w:rPr>
        <w:t xml:space="preserve"> (Výsledek bude doplněn po připomínkovém řízení.)</w:t>
      </w:r>
    </w:p>
    <w:sectPr w:rsidR="006751B8" w:rsidRPr="00C5073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21A19" w14:textId="77777777" w:rsidR="004D4D11" w:rsidRDefault="004D4D11" w:rsidP="004D4D11">
      <w:pPr>
        <w:spacing w:after="0" w:line="240" w:lineRule="auto"/>
      </w:pPr>
      <w:r>
        <w:separator/>
      </w:r>
    </w:p>
  </w:endnote>
  <w:endnote w:type="continuationSeparator" w:id="0">
    <w:p w14:paraId="47C8C2AB" w14:textId="77777777" w:rsidR="004D4D11" w:rsidRDefault="004D4D11" w:rsidP="004D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636791"/>
      <w:docPartObj>
        <w:docPartGallery w:val="Page Numbers (Bottom of Page)"/>
        <w:docPartUnique/>
      </w:docPartObj>
    </w:sdtPr>
    <w:sdtEndPr/>
    <w:sdtContent>
      <w:p w14:paraId="3A78FE72" w14:textId="24A553E9" w:rsidR="00510EB6" w:rsidRDefault="00510EB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B80FFD" w14:textId="77777777" w:rsidR="00510EB6" w:rsidRDefault="00510E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2CD7B" w14:textId="77777777" w:rsidR="004D4D11" w:rsidRDefault="004D4D11" w:rsidP="004D4D11">
      <w:pPr>
        <w:spacing w:after="0" w:line="240" w:lineRule="auto"/>
      </w:pPr>
      <w:r>
        <w:separator/>
      </w:r>
    </w:p>
  </w:footnote>
  <w:footnote w:type="continuationSeparator" w:id="0">
    <w:p w14:paraId="68F7AA50" w14:textId="77777777" w:rsidR="004D4D11" w:rsidRDefault="004D4D11" w:rsidP="004D4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D4D11" w:rsidRPr="004D4D11" w14:paraId="0F753EAA" w14:textId="77777777">
      <w:trPr>
        <w:trHeight w:val="720"/>
      </w:trPr>
      <w:tc>
        <w:tcPr>
          <w:tcW w:w="1667" w:type="pct"/>
        </w:tcPr>
        <w:p w14:paraId="15CE132F" w14:textId="77777777" w:rsidR="004D4D11" w:rsidRDefault="004D4D11">
          <w:pPr>
            <w:pStyle w:val="Zhlav"/>
            <w:rPr>
              <w:color w:val="4472C4" w:themeColor="accent1"/>
            </w:rPr>
          </w:pPr>
        </w:p>
      </w:tc>
      <w:tc>
        <w:tcPr>
          <w:tcW w:w="1667" w:type="pct"/>
        </w:tcPr>
        <w:p w14:paraId="1DC2A8ED" w14:textId="77777777" w:rsidR="004D4D11" w:rsidRDefault="004D4D11">
          <w:pPr>
            <w:pStyle w:val="Zhlav"/>
            <w:jc w:val="center"/>
            <w:rPr>
              <w:color w:val="4472C4" w:themeColor="accent1"/>
            </w:rPr>
          </w:pPr>
        </w:p>
      </w:tc>
      <w:tc>
        <w:tcPr>
          <w:tcW w:w="1666" w:type="pct"/>
        </w:tcPr>
        <w:p w14:paraId="4FD73E13" w14:textId="3B3E89F7" w:rsidR="004D4D11" w:rsidRPr="004D4D11" w:rsidRDefault="004D4D11">
          <w:pPr>
            <w:pStyle w:val="Zhlav"/>
            <w:jc w:val="right"/>
            <w:rPr>
              <w:color w:val="000000" w:themeColor="text1"/>
            </w:rPr>
          </w:pPr>
          <w:r w:rsidRPr="004D4D11">
            <w:rPr>
              <w:color w:val="000000" w:themeColor="text1"/>
              <w:sz w:val="24"/>
              <w:szCs w:val="24"/>
            </w:rPr>
            <w:t>II.</w:t>
          </w:r>
        </w:p>
      </w:tc>
    </w:tr>
  </w:tbl>
  <w:p w14:paraId="11DEE602" w14:textId="77777777" w:rsidR="004D4D11" w:rsidRDefault="004D4D1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41"/>
    <w:rsid w:val="00074441"/>
    <w:rsid w:val="003B1192"/>
    <w:rsid w:val="00451AC2"/>
    <w:rsid w:val="004D4D11"/>
    <w:rsid w:val="00510EB6"/>
    <w:rsid w:val="00562E47"/>
    <w:rsid w:val="0060615A"/>
    <w:rsid w:val="0066658B"/>
    <w:rsid w:val="006751B8"/>
    <w:rsid w:val="00881066"/>
    <w:rsid w:val="00A040B9"/>
    <w:rsid w:val="00B03CDB"/>
    <w:rsid w:val="00C50732"/>
    <w:rsid w:val="00D417A0"/>
    <w:rsid w:val="00D9032A"/>
    <w:rsid w:val="00DD1188"/>
    <w:rsid w:val="00E41EA2"/>
    <w:rsid w:val="00EB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0A06"/>
  <w15:chartTrackingRefBased/>
  <w15:docId w15:val="{DF93E115-9975-485A-8E2C-688EF9B4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4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4D11"/>
  </w:style>
  <w:style w:type="paragraph" w:styleId="Zpat">
    <w:name w:val="footer"/>
    <w:basedOn w:val="Normln"/>
    <w:link w:val="ZpatChar"/>
    <w:uiPriority w:val="99"/>
    <w:unhideWhenUsed/>
    <w:rsid w:val="004D4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4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prumyslu a obchodu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Kulhánková Pavlína</dc:creator>
  <cp:keywords/>
  <dc:description/>
  <cp:lastModifiedBy>Havlice Viktor</cp:lastModifiedBy>
  <cp:revision>2</cp:revision>
  <dcterms:created xsi:type="dcterms:W3CDTF">2025-02-19T17:48:00Z</dcterms:created>
  <dcterms:modified xsi:type="dcterms:W3CDTF">2025-02-19T17:48:00Z</dcterms:modified>
</cp:coreProperties>
</file>