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8976" w14:textId="42F8D645" w:rsidR="00713948" w:rsidRPr="00824A9E" w:rsidRDefault="007B4DBA" w:rsidP="00824A9E">
      <w:pPr>
        <w:spacing w:before="120" w:after="120" w:line="360" w:lineRule="auto"/>
        <w:jc w:val="right"/>
        <w:rPr>
          <w:rFonts w:ascii="Times New Roman" w:hAnsi="Times New Roman" w:cs="Times New Roman"/>
        </w:rPr>
      </w:pPr>
      <w:r w:rsidRPr="00824A9E">
        <w:rPr>
          <w:rFonts w:ascii="Times New Roman" w:hAnsi="Times New Roman" w:cs="Times New Roman"/>
        </w:rPr>
        <w:t>III.</w:t>
      </w:r>
    </w:p>
    <w:p w14:paraId="25061C16" w14:textId="1519CFB2" w:rsidR="007B4DBA" w:rsidRPr="00824A9E" w:rsidRDefault="007B4DBA" w:rsidP="00824A9E">
      <w:pPr>
        <w:spacing w:before="120" w:after="120" w:line="360" w:lineRule="auto"/>
        <w:jc w:val="center"/>
        <w:rPr>
          <w:rFonts w:ascii="Times New Roman" w:hAnsi="Times New Roman" w:cs="Times New Roman"/>
        </w:rPr>
      </w:pPr>
      <w:r w:rsidRPr="00824A9E">
        <w:rPr>
          <w:rFonts w:ascii="Times New Roman" w:hAnsi="Times New Roman" w:cs="Times New Roman"/>
        </w:rPr>
        <w:t>Návrh</w:t>
      </w:r>
    </w:p>
    <w:p w14:paraId="421408BD" w14:textId="77777777" w:rsidR="007B4DBA" w:rsidRPr="00824A9E" w:rsidRDefault="007B4DBA" w:rsidP="00824A9E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</w:rPr>
      </w:pPr>
      <w:r w:rsidRPr="00824A9E">
        <w:rPr>
          <w:rFonts w:ascii="Times New Roman" w:hAnsi="Times New Roman" w:cs="Times New Roman"/>
          <w:b/>
          <w:bCs/>
        </w:rPr>
        <w:t>ZÁKON</w:t>
      </w:r>
    </w:p>
    <w:p w14:paraId="15A01C86" w14:textId="04EECAE8" w:rsidR="007B4DBA" w:rsidRPr="00824A9E" w:rsidRDefault="007B4DBA" w:rsidP="00824A9E">
      <w:pPr>
        <w:spacing w:before="120" w:after="120" w:line="360" w:lineRule="auto"/>
        <w:jc w:val="center"/>
        <w:rPr>
          <w:rFonts w:ascii="Times New Roman" w:hAnsi="Times New Roman" w:cs="Times New Roman"/>
        </w:rPr>
      </w:pPr>
      <w:r w:rsidRPr="00824A9E">
        <w:rPr>
          <w:rFonts w:ascii="Times New Roman" w:hAnsi="Times New Roman" w:cs="Times New Roman"/>
        </w:rPr>
        <w:t xml:space="preserve">ze dne … </w:t>
      </w:r>
      <w:r w:rsidR="00D86ED6">
        <w:rPr>
          <w:rFonts w:ascii="Times New Roman" w:hAnsi="Times New Roman" w:cs="Times New Roman"/>
        </w:rPr>
        <w:t>2025</w:t>
      </w:r>
    </w:p>
    <w:p w14:paraId="2D988FF9" w14:textId="0F66B48B" w:rsidR="007B4DBA" w:rsidRPr="00824A9E" w:rsidRDefault="007B4DBA" w:rsidP="00824A9E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66499425"/>
      <w:r w:rsidRPr="00824A9E">
        <w:rPr>
          <w:rFonts w:ascii="Times New Roman" w:hAnsi="Times New Roman" w:cs="Times New Roman"/>
          <w:b/>
          <w:bCs/>
        </w:rPr>
        <w:t>o stanovení rámce opatření pro posílení evropského ekosystému výroby technologií pro nulové čisté emise</w:t>
      </w:r>
      <w:r w:rsidRPr="00824A9E">
        <w:rPr>
          <w:rFonts w:ascii="Times New Roman" w:hAnsi="Times New Roman" w:cs="Times New Roman"/>
          <w:b/>
        </w:rPr>
        <w:t>, a o změně souvisejících zákonů</w:t>
      </w:r>
    </w:p>
    <w:bookmarkEnd w:id="0"/>
    <w:p w14:paraId="01D30D12" w14:textId="77777777" w:rsidR="00763A33" w:rsidRDefault="00763A33" w:rsidP="00763A33">
      <w:pPr>
        <w:spacing w:before="120" w:after="120" w:line="360" w:lineRule="auto"/>
        <w:jc w:val="both"/>
        <w:rPr>
          <w:rFonts w:ascii="Times New Roman" w:hAnsi="Times New Roman" w:cs="Times New Roman"/>
        </w:rPr>
      </w:pPr>
    </w:p>
    <w:p w14:paraId="45A96662" w14:textId="0500914E" w:rsidR="00763A33" w:rsidRPr="000B6A1C" w:rsidRDefault="00763A33" w:rsidP="00763A33">
      <w:pPr>
        <w:spacing w:before="120" w:after="120" w:line="360" w:lineRule="auto"/>
        <w:ind w:firstLine="567"/>
        <w:jc w:val="both"/>
        <w:rPr>
          <w:rFonts w:ascii="Times New Roman" w:hAnsi="Times New Roman" w:cs="Times New Roman"/>
        </w:rPr>
      </w:pPr>
      <w:r w:rsidRPr="000B6A1C">
        <w:rPr>
          <w:rFonts w:ascii="Times New Roman" w:hAnsi="Times New Roman" w:cs="Times New Roman"/>
        </w:rPr>
        <w:t>Parlament se usnesl na tomto zákoně České republiky:</w:t>
      </w:r>
    </w:p>
    <w:p w14:paraId="005294DB" w14:textId="7DEC0CAA" w:rsidR="00763A33" w:rsidRDefault="003373ED" w:rsidP="00824A9E">
      <w:pPr>
        <w:spacing w:before="120" w:after="12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PRVNÍ</w:t>
      </w:r>
    </w:p>
    <w:p w14:paraId="63AED536" w14:textId="212EEC0E" w:rsidR="003373ED" w:rsidRPr="003373ED" w:rsidRDefault="003373ED" w:rsidP="00824A9E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  <w:smallCaps/>
        </w:rPr>
      </w:pPr>
      <w:r w:rsidRPr="003373ED">
        <w:rPr>
          <w:rFonts w:ascii="Times New Roman" w:hAnsi="Times New Roman" w:cs="Times New Roman"/>
          <w:b/>
          <w:bCs/>
          <w:smallCaps/>
        </w:rPr>
        <w:t>Opatření pro posílení evropského ekosystému výroby technologií pro nulové čisté emise</w:t>
      </w:r>
    </w:p>
    <w:p w14:paraId="416C3366" w14:textId="66B6727A" w:rsidR="007B4DBA" w:rsidRPr="00824A9E" w:rsidRDefault="007B4DBA" w:rsidP="00824A9E">
      <w:pPr>
        <w:spacing w:before="120" w:after="120" w:line="360" w:lineRule="auto"/>
        <w:jc w:val="center"/>
        <w:rPr>
          <w:rFonts w:ascii="Times New Roman" w:hAnsi="Times New Roman" w:cs="Times New Roman"/>
        </w:rPr>
      </w:pPr>
      <w:r w:rsidRPr="00824A9E">
        <w:rPr>
          <w:rFonts w:ascii="Times New Roman" w:hAnsi="Times New Roman" w:cs="Times New Roman"/>
        </w:rPr>
        <w:t>§ 1</w:t>
      </w:r>
    </w:p>
    <w:p w14:paraId="6EFCA120" w14:textId="77777777" w:rsidR="007B4DBA" w:rsidRPr="00824A9E" w:rsidRDefault="007B4DBA" w:rsidP="00824A9E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</w:rPr>
      </w:pPr>
      <w:r w:rsidRPr="00824A9E">
        <w:rPr>
          <w:rFonts w:ascii="Times New Roman" w:hAnsi="Times New Roman" w:cs="Times New Roman"/>
          <w:b/>
          <w:bCs/>
        </w:rPr>
        <w:t>Předmět úpravy</w:t>
      </w:r>
    </w:p>
    <w:p w14:paraId="5E41A129" w14:textId="5C6EAE11" w:rsidR="007B4DBA" w:rsidRPr="00824A9E" w:rsidRDefault="007B4DBA" w:rsidP="00824A9E">
      <w:pPr>
        <w:spacing w:before="120" w:after="120" w:line="36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824A9E">
        <w:rPr>
          <w:rFonts w:ascii="Times New Roman" w:hAnsi="Times New Roman" w:cs="Times New Roman"/>
          <w:u w:val="single"/>
        </w:rPr>
        <w:t>Tento zákon upravuje v návaznosti na přímo použitelný předpis Evropské unie</w:t>
      </w:r>
      <w:r w:rsidRPr="00824A9E">
        <w:rPr>
          <w:rFonts w:ascii="Times New Roman" w:hAnsi="Times New Roman" w:cs="Times New Roman"/>
          <w:vertAlign w:val="superscript"/>
        </w:rPr>
        <w:footnoteReference w:id="1"/>
      </w:r>
      <w:r w:rsidRPr="00824A9E">
        <w:rPr>
          <w:rFonts w:ascii="Times New Roman" w:hAnsi="Times New Roman" w:cs="Times New Roman"/>
          <w:u w:val="single"/>
          <w:vertAlign w:val="superscript"/>
        </w:rPr>
        <w:t>)</w:t>
      </w:r>
      <w:r w:rsidRPr="00824A9E">
        <w:rPr>
          <w:rFonts w:ascii="Times New Roman" w:hAnsi="Times New Roman" w:cs="Times New Roman"/>
          <w:u w:val="single"/>
        </w:rPr>
        <w:t xml:space="preserve"> upravující rámec opatření pro posílení evropského ekosystému výroby technologií pro nulové čisté emise (dále jen „nařízení Evropského parlamentu a Rady (EU) 2024/1735“)</w:t>
      </w:r>
    </w:p>
    <w:p w14:paraId="6593DCC5" w14:textId="7CA56E68" w:rsidR="007D3BA7" w:rsidRPr="001312D1" w:rsidRDefault="007B4DBA" w:rsidP="006D56ED">
      <w:pPr>
        <w:pStyle w:val="Odstavecseseznamem"/>
        <w:numPr>
          <w:ilvl w:val="0"/>
          <w:numId w:val="9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color w:val="auto"/>
          <w:u w:val="single"/>
        </w:rPr>
      </w:pPr>
      <w:r w:rsidRPr="00824A9E">
        <w:rPr>
          <w:rFonts w:ascii="Times New Roman" w:hAnsi="Times New Roman" w:cs="Times New Roman"/>
          <w:u w:val="single"/>
        </w:rPr>
        <w:t>výkon státní správy v</w:t>
      </w:r>
      <w:r w:rsidR="006D56ED">
        <w:rPr>
          <w:rFonts w:ascii="Times New Roman" w:hAnsi="Times New Roman" w:cs="Times New Roman"/>
          <w:u w:val="single"/>
        </w:rPr>
        <w:t xml:space="preserve"> této oblasti a </w:t>
      </w:r>
    </w:p>
    <w:p w14:paraId="3D32F442" w14:textId="05D69F03" w:rsidR="00012D62" w:rsidRDefault="007B4DBA" w:rsidP="003C598B">
      <w:pPr>
        <w:pStyle w:val="Odstavecseseznamem"/>
        <w:numPr>
          <w:ilvl w:val="0"/>
          <w:numId w:val="9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824A9E">
        <w:rPr>
          <w:rFonts w:ascii="Times New Roman" w:hAnsi="Times New Roman" w:cs="Times New Roman"/>
          <w:u w:val="single"/>
        </w:rPr>
        <w:t>některá práva a povinnosti</w:t>
      </w:r>
      <w:r w:rsidR="003C598B">
        <w:rPr>
          <w:rFonts w:ascii="Times New Roman" w:hAnsi="Times New Roman" w:cs="Times New Roman"/>
          <w:u w:val="single"/>
        </w:rPr>
        <w:t xml:space="preserve"> žadatelů o </w:t>
      </w:r>
      <w:r w:rsidR="003C598B" w:rsidRPr="003C598B">
        <w:rPr>
          <w:rFonts w:ascii="Times New Roman" w:hAnsi="Times New Roman" w:cs="Times New Roman"/>
          <w:u w:val="single"/>
        </w:rPr>
        <w:t>uznání projekt</w:t>
      </w:r>
      <w:r w:rsidR="006A51F7">
        <w:rPr>
          <w:rFonts w:ascii="Times New Roman" w:hAnsi="Times New Roman" w:cs="Times New Roman"/>
          <w:u w:val="single"/>
        </w:rPr>
        <w:t>ů</w:t>
      </w:r>
      <w:r w:rsidR="003C598B" w:rsidRPr="003C598B">
        <w:rPr>
          <w:rFonts w:ascii="Times New Roman" w:hAnsi="Times New Roman" w:cs="Times New Roman"/>
          <w:u w:val="single"/>
        </w:rPr>
        <w:t xml:space="preserve"> </w:t>
      </w:r>
      <w:r w:rsidR="00FE1CDB" w:rsidRPr="003C598B">
        <w:rPr>
          <w:rFonts w:ascii="Times New Roman" w:hAnsi="Times New Roman" w:cs="Times New Roman"/>
          <w:u w:val="single"/>
        </w:rPr>
        <w:t>za strategick</w:t>
      </w:r>
      <w:r w:rsidR="00FE1CDB">
        <w:rPr>
          <w:rFonts w:ascii="Times New Roman" w:hAnsi="Times New Roman" w:cs="Times New Roman"/>
          <w:u w:val="single"/>
        </w:rPr>
        <w:t>é</w:t>
      </w:r>
      <w:r w:rsidR="00FE1CDB" w:rsidRPr="003C598B">
        <w:rPr>
          <w:rFonts w:ascii="Times New Roman" w:hAnsi="Times New Roman" w:cs="Times New Roman"/>
          <w:u w:val="single"/>
        </w:rPr>
        <w:t xml:space="preserve"> projekt</w:t>
      </w:r>
      <w:r w:rsidR="00FE1CDB">
        <w:rPr>
          <w:rFonts w:ascii="Times New Roman" w:hAnsi="Times New Roman" w:cs="Times New Roman"/>
          <w:u w:val="single"/>
        </w:rPr>
        <w:t>y</w:t>
      </w:r>
      <w:r w:rsidR="00FE1CDB" w:rsidRPr="003C598B">
        <w:rPr>
          <w:rFonts w:ascii="Times New Roman" w:hAnsi="Times New Roman" w:cs="Times New Roman"/>
          <w:u w:val="single"/>
        </w:rPr>
        <w:t xml:space="preserve"> pro nulové čisté emise</w:t>
      </w:r>
      <w:r w:rsidR="00FE1CDB">
        <w:rPr>
          <w:rFonts w:ascii="Times New Roman" w:hAnsi="Times New Roman" w:cs="Times New Roman"/>
          <w:u w:val="single"/>
        </w:rPr>
        <w:t xml:space="preserve"> v oblasti</w:t>
      </w:r>
    </w:p>
    <w:p w14:paraId="2C143C96" w14:textId="5FE3C5C3" w:rsidR="00012D62" w:rsidRDefault="00E0001D" w:rsidP="00012D62">
      <w:pPr>
        <w:pStyle w:val="Odstavecseseznamem"/>
        <w:tabs>
          <w:tab w:val="left" w:pos="567"/>
        </w:tabs>
        <w:spacing w:before="120" w:after="120" w:line="360" w:lineRule="auto"/>
        <w:ind w:left="0"/>
        <w:jc w:val="both"/>
        <w:rPr>
          <w:rFonts w:ascii="Times New Roman" w:hAnsi="Times New Roman" w:cs="Times New Roman"/>
          <w:u w:val="single"/>
        </w:rPr>
      </w:pPr>
      <w:r w:rsidRPr="00E0001D">
        <w:rPr>
          <w:rFonts w:ascii="Times New Roman" w:hAnsi="Times New Roman" w:cs="Times New Roman"/>
        </w:rPr>
        <w:tab/>
      </w:r>
      <w:r w:rsidR="00012D62">
        <w:rPr>
          <w:rFonts w:ascii="Times New Roman" w:hAnsi="Times New Roman" w:cs="Times New Roman"/>
          <w:u w:val="single"/>
        </w:rPr>
        <w:t xml:space="preserve">1. </w:t>
      </w:r>
      <w:r w:rsidR="003C598B" w:rsidRPr="003C598B">
        <w:rPr>
          <w:rFonts w:ascii="Times New Roman" w:hAnsi="Times New Roman" w:cs="Times New Roman"/>
          <w:u w:val="single"/>
        </w:rPr>
        <w:t>výroby technologií</w:t>
      </w:r>
      <w:r w:rsidR="006A51F7">
        <w:rPr>
          <w:rFonts w:ascii="Times New Roman" w:hAnsi="Times New Roman" w:cs="Times New Roman"/>
          <w:u w:val="single"/>
        </w:rPr>
        <w:t xml:space="preserve"> a komponent</w:t>
      </w:r>
      <w:r w:rsidR="003C598B" w:rsidRPr="003C598B">
        <w:rPr>
          <w:rFonts w:ascii="Times New Roman" w:hAnsi="Times New Roman" w:cs="Times New Roman"/>
          <w:u w:val="single"/>
        </w:rPr>
        <w:t xml:space="preserve"> pro nulové čisté emise</w:t>
      </w:r>
      <w:r w:rsidR="006A51F7">
        <w:rPr>
          <w:rFonts w:ascii="Times New Roman" w:hAnsi="Times New Roman" w:cs="Times New Roman"/>
          <w:u w:val="single"/>
        </w:rPr>
        <w:t xml:space="preserve">, </w:t>
      </w:r>
    </w:p>
    <w:p w14:paraId="5249F9DF" w14:textId="3DB6F6B0" w:rsidR="00B73D90" w:rsidRDefault="00012D62" w:rsidP="00E0001D">
      <w:pPr>
        <w:pStyle w:val="Odstavecseseznamem"/>
        <w:tabs>
          <w:tab w:val="left" w:pos="567"/>
        </w:tabs>
        <w:spacing w:before="120" w:after="120" w:line="360" w:lineRule="auto"/>
        <w:ind w:left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2. výstavby nebo změny staveb energeticky náročného zařízení v odvětví výroby oceli, hliníku</w:t>
      </w:r>
      <w:r w:rsidR="00B73D90">
        <w:rPr>
          <w:rFonts w:ascii="Times New Roman" w:hAnsi="Times New Roman" w:cs="Times New Roman"/>
          <w:u w:val="single"/>
        </w:rPr>
        <w:t>, neželezných kovů, chemických látek, cementu, vápna, skla, keramiky, hnojiv, celulózy a papíru, které jsou součástí dodavatelského řetězce technologie pro nulové čisté emise a které mají výrazně snížit míry emisí ekvivalentu oxidu uhličitého z průmyslových procesů</w:t>
      </w:r>
      <w:r w:rsidR="00A42AE3">
        <w:rPr>
          <w:rFonts w:ascii="Times New Roman" w:hAnsi="Times New Roman" w:cs="Times New Roman"/>
          <w:u w:val="single"/>
        </w:rPr>
        <w:t xml:space="preserve"> (dále jen „dekarbonizační záměr v průmyslu“)</w:t>
      </w:r>
      <w:r w:rsidR="00B73D90">
        <w:rPr>
          <w:rFonts w:ascii="Times New Roman" w:hAnsi="Times New Roman" w:cs="Times New Roman"/>
          <w:u w:val="single"/>
        </w:rPr>
        <w:t>,</w:t>
      </w:r>
    </w:p>
    <w:p w14:paraId="49AC154F" w14:textId="30ADCF57" w:rsidR="00B73D90" w:rsidRDefault="00B73D90" w:rsidP="00E0001D">
      <w:pPr>
        <w:pStyle w:val="Odstavecseseznamem"/>
        <w:tabs>
          <w:tab w:val="left" w:pos="567"/>
        </w:tabs>
        <w:spacing w:before="120" w:after="120" w:line="360" w:lineRule="auto"/>
        <w:ind w:left="567"/>
        <w:jc w:val="both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  <w:u w:val="single"/>
        </w:rPr>
        <w:t xml:space="preserve">3.   </w:t>
      </w:r>
      <w:r w:rsidR="00012D62">
        <w:rPr>
          <w:rFonts w:ascii="Times New Roman" w:hAnsi="Times New Roman" w:cs="Times New Roman"/>
          <w:u w:val="single"/>
        </w:rPr>
        <w:t xml:space="preserve"> </w:t>
      </w:r>
      <w:r w:rsidR="006A51F7" w:rsidRPr="007D3BA7">
        <w:rPr>
          <w:rFonts w:ascii="Times New Roman" w:hAnsi="Times New Roman" w:cs="Times New Roman"/>
          <w:color w:val="auto"/>
          <w:u w:val="single"/>
        </w:rPr>
        <w:t>stav</w:t>
      </w:r>
      <w:r w:rsidR="006A51F7">
        <w:rPr>
          <w:rFonts w:ascii="Times New Roman" w:hAnsi="Times New Roman" w:cs="Times New Roman"/>
          <w:color w:val="auto"/>
          <w:u w:val="single"/>
        </w:rPr>
        <w:t>eb</w:t>
      </w:r>
      <w:r w:rsidR="006A51F7" w:rsidRPr="007D3BA7">
        <w:rPr>
          <w:rFonts w:ascii="Times New Roman" w:hAnsi="Times New Roman" w:cs="Times New Roman"/>
          <w:color w:val="auto"/>
          <w:u w:val="single"/>
        </w:rPr>
        <w:t xml:space="preserve"> a zařízení, které mají sloužit k ukládání oxidu uhličitého do přírodních horninových struktur nebo k zachytávání oxidu uhličitého a </w:t>
      </w:r>
    </w:p>
    <w:p w14:paraId="1A41AA38" w14:textId="126F4B6B" w:rsidR="007B4DBA" w:rsidRDefault="00B73D90" w:rsidP="00A02AE5">
      <w:pPr>
        <w:pStyle w:val="Odstavecseseznamem"/>
        <w:tabs>
          <w:tab w:val="left" w:pos="567"/>
        </w:tabs>
        <w:spacing w:before="120" w:after="120" w:line="360" w:lineRule="auto"/>
        <w:ind w:left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color w:val="auto"/>
          <w:u w:val="single"/>
        </w:rPr>
        <w:t xml:space="preserve">4. </w:t>
      </w:r>
      <w:r w:rsidR="006A51F7" w:rsidRPr="007D3BA7">
        <w:rPr>
          <w:rFonts w:ascii="Times New Roman" w:hAnsi="Times New Roman" w:cs="Times New Roman"/>
          <w:color w:val="auto"/>
          <w:u w:val="single"/>
        </w:rPr>
        <w:t>stav</w:t>
      </w:r>
      <w:r w:rsidR="006A51F7">
        <w:rPr>
          <w:rFonts w:ascii="Times New Roman" w:hAnsi="Times New Roman" w:cs="Times New Roman"/>
          <w:color w:val="auto"/>
          <w:u w:val="single"/>
        </w:rPr>
        <w:t>eb</w:t>
      </w:r>
      <w:r w:rsidR="006A51F7" w:rsidRPr="007D3BA7">
        <w:rPr>
          <w:rFonts w:ascii="Times New Roman" w:hAnsi="Times New Roman" w:cs="Times New Roman"/>
          <w:color w:val="auto"/>
          <w:u w:val="single"/>
        </w:rPr>
        <w:t xml:space="preserve"> přepravní sítě určené k přepravě oxidu uhličitého na úložiště oxidu uhličitého</w:t>
      </w:r>
      <w:r w:rsidR="003C598B">
        <w:rPr>
          <w:rFonts w:ascii="Times New Roman" w:hAnsi="Times New Roman" w:cs="Times New Roman"/>
          <w:u w:val="single"/>
        </w:rPr>
        <w:t>.</w:t>
      </w:r>
    </w:p>
    <w:p w14:paraId="464AE605" w14:textId="77777777" w:rsidR="00EF3B28" w:rsidRPr="00EF3B28" w:rsidRDefault="00EF3B28" w:rsidP="00EF3B28">
      <w:pPr>
        <w:spacing w:before="120" w:after="120" w:line="360" w:lineRule="auto"/>
        <w:rPr>
          <w:rFonts w:ascii="Times New Roman" w:hAnsi="Times New Roman" w:cs="Times New Roman"/>
          <w:i/>
          <w:iCs/>
        </w:rPr>
      </w:pPr>
      <w:r w:rsidRPr="00EF3B28">
        <w:rPr>
          <w:rFonts w:ascii="Times New Roman" w:hAnsi="Times New Roman" w:cs="Times New Roman"/>
          <w:i/>
          <w:iCs/>
        </w:rPr>
        <w:t>CELEX 32024R1735</w:t>
      </w:r>
    </w:p>
    <w:p w14:paraId="23D94A05" w14:textId="6F1FA879" w:rsidR="007D3BA7" w:rsidRDefault="007D3BA7" w:rsidP="006A51F7">
      <w:pPr>
        <w:spacing w:before="120" w:after="120" w:line="360" w:lineRule="auto"/>
        <w:rPr>
          <w:rFonts w:ascii="Times New Roman" w:hAnsi="Times New Roman" w:cs="Times New Roman"/>
        </w:rPr>
      </w:pPr>
    </w:p>
    <w:p w14:paraId="2C8F17BA" w14:textId="77777777" w:rsidR="00E0001D" w:rsidRDefault="00E0001D" w:rsidP="006A51F7">
      <w:pPr>
        <w:spacing w:before="120" w:after="120" w:line="360" w:lineRule="auto"/>
        <w:rPr>
          <w:rFonts w:ascii="Times New Roman" w:hAnsi="Times New Roman" w:cs="Times New Roman"/>
        </w:rPr>
      </w:pPr>
    </w:p>
    <w:p w14:paraId="5F7F5B05" w14:textId="1808C77A" w:rsidR="007B4DBA" w:rsidRPr="00824A9E" w:rsidRDefault="00F61789" w:rsidP="00824A9E">
      <w:pPr>
        <w:spacing w:before="120" w:after="120" w:line="360" w:lineRule="auto"/>
        <w:jc w:val="center"/>
        <w:rPr>
          <w:rFonts w:ascii="Times New Roman" w:hAnsi="Times New Roman" w:cs="Times New Roman"/>
        </w:rPr>
      </w:pPr>
      <w:r w:rsidRPr="00824A9E">
        <w:rPr>
          <w:rFonts w:ascii="Times New Roman" w:hAnsi="Times New Roman" w:cs="Times New Roman"/>
        </w:rPr>
        <w:lastRenderedPageBreak/>
        <w:t>§ 2</w:t>
      </w:r>
    </w:p>
    <w:p w14:paraId="1BA2290C" w14:textId="3B2BE6DC" w:rsidR="00F61789" w:rsidRPr="00824A9E" w:rsidRDefault="00362587" w:rsidP="00824A9E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Výkon s</w:t>
      </w:r>
      <w:r w:rsidR="00F61789" w:rsidRPr="00824A9E">
        <w:rPr>
          <w:rFonts w:ascii="Times New Roman" w:hAnsi="Times New Roman" w:cs="Times New Roman"/>
          <w:b/>
          <w:bCs/>
        </w:rPr>
        <w:t>tátní správ</w:t>
      </w:r>
      <w:r>
        <w:rPr>
          <w:rFonts w:ascii="Times New Roman" w:hAnsi="Times New Roman" w:cs="Times New Roman"/>
          <w:b/>
          <w:bCs/>
        </w:rPr>
        <w:t>y</w:t>
      </w:r>
    </w:p>
    <w:p w14:paraId="690A885E" w14:textId="56D33780" w:rsidR="00F61789" w:rsidRPr="00824A9E" w:rsidRDefault="00824A9E" w:rsidP="00824A9E">
      <w:pPr>
        <w:tabs>
          <w:tab w:val="left" w:pos="1134"/>
        </w:tabs>
        <w:spacing w:before="120" w:after="120" w:line="36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3373ED">
        <w:rPr>
          <w:rFonts w:ascii="Times New Roman" w:hAnsi="Times New Roman" w:cs="Times New Roman"/>
        </w:rPr>
        <w:t>(1)</w:t>
      </w:r>
      <w:r w:rsidRPr="003373ED">
        <w:rPr>
          <w:rFonts w:ascii="Times New Roman" w:hAnsi="Times New Roman" w:cs="Times New Roman"/>
        </w:rPr>
        <w:tab/>
      </w:r>
      <w:r w:rsidR="00DB4633" w:rsidRPr="00824A9E">
        <w:rPr>
          <w:rFonts w:ascii="Times New Roman" w:hAnsi="Times New Roman" w:cs="Times New Roman"/>
          <w:u w:val="single"/>
        </w:rPr>
        <w:t>Státní správu v oblasti rámce opatření pro posílení evropského ekosystému výroby technologií pro nulové čisté emise vykonávají</w:t>
      </w:r>
    </w:p>
    <w:p w14:paraId="68961284" w14:textId="3CFA944D" w:rsidR="00DB4633" w:rsidRPr="003373ED" w:rsidRDefault="00DB4633" w:rsidP="003373ED">
      <w:pPr>
        <w:pStyle w:val="Odstavecseseznamem"/>
        <w:numPr>
          <w:ilvl w:val="0"/>
          <w:numId w:val="17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3373ED">
        <w:rPr>
          <w:rFonts w:ascii="Times New Roman" w:hAnsi="Times New Roman" w:cs="Times New Roman"/>
          <w:u w:val="single"/>
        </w:rPr>
        <w:t>Ministerstvo průmyslu a obchodu</w:t>
      </w:r>
      <w:r w:rsidR="00B36791" w:rsidRPr="003373ED">
        <w:rPr>
          <w:rFonts w:ascii="Times New Roman" w:hAnsi="Times New Roman" w:cs="Times New Roman"/>
          <w:u w:val="single"/>
        </w:rPr>
        <w:t xml:space="preserve"> (dále jen „ministerstvo“)</w:t>
      </w:r>
      <w:r w:rsidRPr="003373ED">
        <w:rPr>
          <w:rFonts w:ascii="Times New Roman" w:hAnsi="Times New Roman" w:cs="Times New Roman"/>
          <w:u w:val="single"/>
        </w:rPr>
        <w:t>,</w:t>
      </w:r>
    </w:p>
    <w:p w14:paraId="0E5CF4E8" w14:textId="3A100AB1" w:rsidR="003441E9" w:rsidRDefault="003441E9" w:rsidP="003373ED">
      <w:pPr>
        <w:pStyle w:val="Odstavecseseznamem"/>
        <w:numPr>
          <w:ilvl w:val="0"/>
          <w:numId w:val="17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3373ED">
        <w:rPr>
          <w:rFonts w:ascii="Times New Roman" w:hAnsi="Times New Roman" w:cs="Times New Roman"/>
          <w:u w:val="single"/>
        </w:rPr>
        <w:t>Ministerstvo životního prostředí</w:t>
      </w:r>
      <w:r w:rsidR="00F73C50" w:rsidRPr="003373ED">
        <w:rPr>
          <w:rFonts w:ascii="Times New Roman" w:hAnsi="Times New Roman" w:cs="Times New Roman"/>
          <w:u w:val="single"/>
        </w:rPr>
        <w:t>,</w:t>
      </w:r>
    </w:p>
    <w:p w14:paraId="63DE1022" w14:textId="2A865EB8" w:rsidR="009C712C" w:rsidRDefault="009C712C" w:rsidP="003373ED">
      <w:pPr>
        <w:pStyle w:val="Odstavecseseznamem"/>
        <w:numPr>
          <w:ilvl w:val="0"/>
          <w:numId w:val="17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  <w:color w:val="auto"/>
          <w:u w:val="single"/>
        </w:rPr>
        <w:t>Ministerstvo školství</w:t>
      </w:r>
      <w:r w:rsidR="00CB2265">
        <w:rPr>
          <w:rFonts w:ascii="Times New Roman" w:hAnsi="Times New Roman" w:cs="Times New Roman"/>
          <w:color w:val="auto"/>
          <w:u w:val="single"/>
        </w:rPr>
        <w:t>, mládeže a tělovýchovy,</w:t>
      </w:r>
    </w:p>
    <w:p w14:paraId="1476F28F" w14:textId="1E44479E" w:rsidR="009F2D2A" w:rsidRPr="001312D1" w:rsidRDefault="009F2D2A" w:rsidP="003373ED">
      <w:pPr>
        <w:pStyle w:val="Odstavecseseznamem"/>
        <w:numPr>
          <w:ilvl w:val="0"/>
          <w:numId w:val="17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color w:val="auto"/>
          <w:u w:val="single"/>
        </w:rPr>
      </w:pPr>
      <w:r w:rsidRPr="001312D1">
        <w:rPr>
          <w:rFonts w:ascii="Times New Roman" w:hAnsi="Times New Roman" w:cs="Times New Roman"/>
          <w:color w:val="auto"/>
          <w:u w:val="single"/>
        </w:rPr>
        <w:t>krajsk</w:t>
      </w:r>
      <w:r w:rsidR="00591968" w:rsidRPr="001312D1">
        <w:rPr>
          <w:rFonts w:ascii="Times New Roman" w:hAnsi="Times New Roman" w:cs="Times New Roman"/>
          <w:color w:val="auto"/>
          <w:u w:val="single"/>
        </w:rPr>
        <w:t>é</w:t>
      </w:r>
      <w:r w:rsidRPr="001312D1">
        <w:rPr>
          <w:rFonts w:ascii="Times New Roman" w:hAnsi="Times New Roman" w:cs="Times New Roman"/>
          <w:color w:val="auto"/>
          <w:u w:val="single"/>
        </w:rPr>
        <w:t xml:space="preserve"> úřad</w:t>
      </w:r>
      <w:r w:rsidR="00591968" w:rsidRPr="001312D1">
        <w:rPr>
          <w:rFonts w:ascii="Times New Roman" w:hAnsi="Times New Roman" w:cs="Times New Roman"/>
          <w:color w:val="auto"/>
          <w:u w:val="single"/>
        </w:rPr>
        <w:t>y</w:t>
      </w:r>
      <w:r w:rsidR="005D08C9">
        <w:rPr>
          <w:rFonts w:ascii="Times New Roman" w:hAnsi="Times New Roman" w:cs="Times New Roman"/>
          <w:color w:val="auto"/>
          <w:u w:val="single"/>
        </w:rPr>
        <w:t>,</w:t>
      </w:r>
    </w:p>
    <w:p w14:paraId="277D6AD9" w14:textId="77777777" w:rsidR="005D08C9" w:rsidRDefault="0099007A" w:rsidP="003373ED">
      <w:pPr>
        <w:pStyle w:val="Odstavecseseznamem"/>
        <w:numPr>
          <w:ilvl w:val="0"/>
          <w:numId w:val="17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3373ED">
        <w:rPr>
          <w:rFonts w:ascii="Times New Roman" w:hAnsi="Times New Roman" w:cs="Times New Roman"/>
          <w:u w:val="single"/>
        </w:rPr>
        <w:t>Dopravní a energetický stavební úřad</w:t>
      </w:r>
      <w:r w:rsidR="005D08C9">
        <w:rPr>
          <w:rFonts w:ascii="Times New Roman" w:hAnsi="Times New Roman" w:cs="Times New Roman"/>
          <w:u w:val="single"/>
        </w:rPr>
        <w:t xml:space="preserve"> a</w:t>
      </w:r>
    </w:p>
    <w:p w14:paraId="38691DC0" w14:textId="3C7C3F35" w:rsidR="0076434B" w:rsidRPr="003373ED" w:rsidRDefault="005D08C9" w:rsidP="003373ED">
      <w:pPr>
        <w:pStyle w:val="Odstavecseseznamem"/>
        <w:numPr>
          <w:ilvl w:val="0"/>
          <w:numId w:val="17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Agentura pro </w:t>
      </w:r>
      <w:r w:rsidR="00C91BB1" w:rsidRPr="00C91BB1">
        <w:rPr>
          <w:rFonts w:ascii="Times New Roman" w:hAnsi="Times New Roman" w:cs="Times New Roman"/>
          <w:u w:val="single"/>
        </w:rPr>
        <w:t>podporu podnikání a investic CzechInvest</w:t>
      </w:r>
      <w:r>
        <w:rPr>
          <w:rFonts w:ascii="Times New Roman" w:hAnsi="Times New Roman" w:cs="Times New Roman"/>
          <w:u w:val="single"/>
        </w:rPr>
        <w:t>.</w:t>
      </w:r>
    </w:p>
    <w:p w14:paraId="234A824F" w14:textId="4465259D" w:rsidR="009C712C" w:rsidRDefault="00824A9E" w:rsidP="009C712C">
      <w:pPr>
        <w:tabs>
          <w:tab w:val="left" w:pos="1134"/>
        </w:tabs>
        <w:spacing w:before="120" w:after="120" w:line="36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824A9E">
        <w:rPr>
          <w:rFonts w:ascii="Times New Roman" w:hAnsi="Times New Roman" w:cs="Times New Roman"/>
        </w:rPr>
        <w:t>(2)</w:t>
      </w:r>
      <w:r w:rsidRPr="00824A9E">
        <w:rPr>
          <w:rFonts w:ascii="Times New Roman" w:hAnsi="Times New Roman" w:cs="Times New Roman"/>
        </w:rPr>
        <w:tab/>
      </w:r>
      <w:r w:rsidRPr="00824A9E">
        <w:rPr>
          <w:rFonts w:ascii="Times New Roman" w:hAnsi="Times New Roman" w:cs="Times New Roman"/>
          <w:u w:val="single"/>
        </w:rPr>
        <w:t xml:space="preserve">Ministerstvo </w:t>
      </w:r>
      <w:bookmarkStart w:id="1" w:name="_Hlk188278515"/>
      <w:r w:rsidRPr="00824A9E">
        <w:rPr>
          <w:rFonts w:ascii="Times New Roman" w:hAnsi="Times New Roman" w:cs="Times New Roman"/>
          <w:u w:val="single"/>
        </w:rPr>
        <w:t>plní povinnosti a vykonává pravomoci stanovené členským státům v čl.</w:t>
      </w:r>
      <w:r w:rsidR="007F6D8F">
        <w:rPr>
          <w:rFonts w:ascii="Times New Roman" w:hAnsi="Times New Roman" w:cs="Times New Roman"/>
          <w:u w:val="single"/>
        </w:rPr>
        <w:t xml:space="preserve"> </w:t>
      </w:r>
      <w:r w:rsidR="007F6D8F" w:rsidRPr="00857B2A">
        <w:rPr>
          <w:rFonts w:ascii="Times New Roman" w:hAnsi="Times New Roman" w:cs="Times New Roman"/>
          <w:color w:val="auto"/>
          <w:u w:val="single"/>
        </w:rPr>
        <w:t xml:space="preserve">6 odst. 6, </w:t>
      </w:r>
      <w:r w:rsidR="001E03AD">
        <w:rPr>
          <w:rFonts w:ascii="Times New Roman" w:hAnsi="Times New Roman" w:cs="Times New Roman"/>
          <w:color w:val="auto"/>
          <w:u w:val="single"/>
        </w:rPr>
        <w:t xml:space="preserve"> </w:t>
      </w:r>
      <w:r w:rsidR="00857B2A" w:rsidRPr="00857B2A">
        <w:rPr>
          <w:rFonts w:ascii="Times New Roman" w:hAnsi="Times New Roman" w:cs="Times New Roman"/>
          <w:color w:val="auto"/>
          <w:u w:val="single"/>
        </w:rPr>
        <w:t xml:space="preserve">čl. </w:t>
      </w:r>
      <w:r w:rsidR="007F6D8F" w:rsidRPr="00857B2A">
        <w:rPr>
          <w:rFonts w:ascii="Times New Roman" w:hAnsi="Times New Roman" w:cs="Times New Roman"/>
          <w:color w:val="auto"/>
          <w:u w:val="single"/>
        </w:rPr>
        <w:t>7,</w:t>
      </w:r>
      <w:r w:rsidRPr="00857B2A">
        <w:rPr>
          <w:rFonts w:ascii="Times New Roman" w:hAnsi="Times New Roman" w:cs="Times New Roman"/>
          <w:color w:val="auto"/>
          <w:u w:val="single"/>
        </w:rPr>
        <w:t xml:space="preserve"> </w:t>
      </w:r>
      <w:r w:rsidR="000079E2">
        <w:rPr>
          <w:rFonts w:ascii="Times New Roman" w:hAnsi="Times New Roman" w:cs="Times New Roman"/>
          <w:color w:val="auto"/>
          <w:u w:val="single"/>
        </w:rPr>
        <w:t xml:space="preserve">čl. 15 odst. 1, </w:t>
      </w:r>
      <w:r w:rsidR="00036873" w:rsidRPr="00857B2A">
        <w:rPr>
          <w:rFonts w:ascii="Times New Roman" w:hAnsi="Times New Roman" w:cs="Times New Roman"/>
          <w:color w:val="auto"/>
          <w:u w:val="single"/>
        </w:rPr>
        <w:t xml:space="preserve">čl. </w:t>
      </w:r>
      <w:r w:rsidR="007F40C2" w:rsidRPr="00857B2A">
        <w:rPr>
          <w:rFonts w:ascii="Times New Roman" w:hAnsi="Times New Roman" w:cs="Times New Roman"/>
          <w:color w:val="auto"/>
          <w:u w:val="single"/>
        </w:rPr>
        <w:t>26</w:t>
      </w:r>
      <w:r w:rsidR="00AF7ED7" w:rsidRPr="00857B2A">
        <w:rPr>
          <w:rFonts w:ascii="Times New Roman" w:hAnsi="Times New Roman" w:cs="Times New Roman"/>
          <w:color w:val="auto"/>
          <w:u w:val="single"/>
        </w:rPr>
        <w:t xml:space="preserve">, </w:t>
      </w:r>
      <w:r w:rsidR="00036873" w:rsidRPr="00857B2A">
        <w:rPr>
          <w:rFonts w:ascii="Times New Roman" w:hAnsi="Times New Roman" w:cs="Times New Roman"/>
          <w:color w:val="auto"/>
          <w:u w:val="single"/>
        </w:rPr>
        <w:t xml:space="preserve">čl. </w:t>
      </w:r>
      <w:r w:rsidR="00AF7ED7" w:rsidRPr="00857B2A">
        <w:rPr>
          <w:rFonts w:ascii="Times New Roman" w:hAnsi="Times New Roman" w:cs="Times New Roman"/>
          <w:color w:val="auto"/>
          <w:u w:val="single"/>
        </w:rPr>
        <w:t>28 odst. 5</w:t>
      </w:r>
      <w:r w:rsidR="00A03F2E" w:rsidRPr="00857B2A">
        <w:rPr>
          <w:rFonts w:ascii="Times New Roman" w:hAnsi="Times New Roman" w:cs="Times New Roman"/>
          <w:color w:val="auto"/>
          <w:u w:val="single"/>
        </w:rPr>
        <w:t xml:space="preserve">, </w:t>
      </w:r>
      <w:r w:rsidR="00036873" w:rsidRPr="00857B2A">
        <w:rPr>
          <w:rFonts w:ascii="Times New Roman" w:hAnsi="Times New Roman" w:cs="Times New Roman"/>
          <w:color w:val="auto"/>
          <w:u w:val="single"/>
        </w:rPr>
        <w:t xml:space="preserve">čl. </w:t>
      </w:r>
      <w:r w:rsidR="00A03F2E" w:rsidRPr="00857B2A">
        <w:rPr>
          <w:rFonts w:ascii="Times New Roman" w:hAnsi="Times New Roman" w:cs="Times New Roman"/>
          <w:color w:val="auto"/>
          <w:u w:val="single"/>
        </w:rPr>
        <w:t>36 odst. 2,</w:t>
      </w:r>
      <w:r w:rsidR="00036873" w:rsidRPr="00857B2A">
        <w:rPr>
          <w:rFonts w:ascii="Times New Roman" w:hAnsi="Times New Roman" w:cs="Times New Roman"/>
          <w:color w:val="auto"/>
          <w:u w:val="single"/>
        </w:rPr>
        <w:t xml:space="preserve"> čl.</w:t>
      </w:r>
      <w:r w:rsidR="00A03F2E" w:rsidRPr="00857B2A">
        <w:rPr>
          <w:rFonts w:ascii="Times New Roman" w:hAnsi="Times New Roman" w:cs="Times New Roman"/>
          <w:color w:val="auto"/>
          <w:u w:val="single"/>
        </w:rPr>
        <w:t xml:space="preserve"> 37 odst. 2</w:t>
      </w:r>
      <w:r w:rsidR="00345B7F" w:rsidRPr="00857B2A">
        <w:rPr>
          <w:rFonts w:ascii="Times New Roman" w:hAnsi="Times New Roman" w:cs="Times New Roman"/>
          <w:color w:val="auto"/>
          <w:u w:val="single"/>
        </w:rPr>
        <w:t xml:space="preserve">, </w:t>
      </w:r>
      <w:r w:rsidR="00036873" w:rsidRPr="00857B2A">
        <w:rPr>
          <w:rFonts w:ascii="Times New Roman" w:hAnsi="Times New Roman" w:cs="Times New Roman"/>
          <w:color w:val="auto"/>
          <w:u w:val="single"/>
        </w:rPr>
        <w:t xml:space="preserve">čl. </w:t>
      </w:r>
      <w:r w:rsidR="00345B7F" w:rsidRPr="00857B2A">
        <w:rPr>
          <w:rFonts w:ascii="Times New Roman" w:hAnsi="Times New Roman" w:cs="Times New Roman"/>
          <w:color w:val="auto"/>
          <w:u w:val="single"/>
        </w:rPr>
        <w:t xml:space="preserve">39 odst. 2, </w:t>
      </w:r>
      <w:r w:rsidR="00036873" w:rsidRPr="00857B2A">
        <w:rPr>
          <w:rFonts w:ascii="Times New Roman" w:hAnsi="Times New Roman" w:cs="Times New Roman"/>
          <w:color w:val="auto"/>
          <w:u w:val="single"/>
        </w:rPr>
        <w:t xml:space="preserve">čl. </w:t>
      </w:r>
      <w:r w:rsidR="00345B7F" w:rsidRPr="00857B2A">
        <w:rPr>
          <w:rFonts w:ascii="Times New Roman" w:hAnsi="Times New Roman" w:cs="Times New Roman"/>
          <w:color w:val="auto"/>
          <w:u w:val="single"/>
        </w:rPr>
        <w:t xml:space="preserve">41, </w:t>
      </w:r>
      <w:r w:rsidR="00036873" w:rsidRPr="00857B2A">
        <w:rPr>
          <w:rFonts w:ascii="Times New Roman" w:hAnsi="Times New Roman" w:cs="Times New Roman"/>
          <w:color w:val="auto"/>
          <w:u w:val="single"/>
        </w:rPr>
        <w:t xml:space="preserve">čl. </w:t>
      </w:r>
      <w:r w:rsidR="00345B7F" w:rsidRPr="00857B2A">
        <w:rPr>
          <w:rFonts w:ascii="Times New Roman" w:hAnsi="Times New Roman" w:cs="Times New Roman"/>
          <w:color w:val="auto"/>
          <w:u w:val="single"/>
        </w:rPr>
        <w:t xml:space="preserve">42 odst. 2 a 3 a </w:t>
      </w:r>
      <w:r w:rsidR="00036873" w:rsidRPr="00857B2A">
        <w:rPr>
          <w:rFonts w:ascii="Times New Roman" w:hAnsi="Times New Roman" w:cs="Times New Roman"/>
          <w:color w:val="auto"/>
          <w:u w:val="single"/>
        </w:rPr>
        <w:t xml:space="preserve">čl. </w:t>
      </w:r>
      <w:r w:rsidR="00345B7F" w:rsidRPr="00857B2A">
        <w:rPr>
          <w:rFonts w:ascii="Times New Roman" w:hAnsi="Times New Roman" w:cs="Times New Roman"/>
          <w:color w:val="auto"/>
          <w:u w:val="single"/>
        </w:rPr>
        <w:t xml:space="preserve">46 odst. 5 </w:t>
      </w:r>
      <w:r w:rsidRPr="00824A9E">
        <w:rPr>
          <w:rFonts w:ascii="Times New Roman" w:hAnsi="Times New Roman" w:cs="Times New Roman"/>
          <w:u w:val="single"/>
        </w:rPr>
        <w:t>nařízení Evropského parlamentu a Rady (EU) 2024/1735.</w:t>
      </w:r>
    </w:p>
    <w:bookmarkEnd w:id="1"/>
    <w:p w14:paraId="7FE11C6B" w14:textId="17762CF2" w:rsidR="009C712C" w:rsidRDefault="009C712C" w:rsidP="009C712C">
      <w:pPr>
        <w:pStyle w:val="Odstavecseseznamem"/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auto"/>
          <w:u w:val="single"/>
        </w:rPr>
      </w:pPr>
      <w:r w:rsidRPr="00A02AE5">
        <w:rPr>
          <w:rFonts w:ascii="Times New Roman" w:hAnsi="Times New Roman" w:cs="Times New Roman"/>
        </w:rPr>
        <w:t>(3)</w:t>
      </w:r>
      <w:r w:rsidRPr="00A02AE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color w:val="auto"/>
          <w:u w:val="single"/>
        </w:rPr>
        <w:t>Ministerstvo školství</w:t>
      </w:r>
      <w:r w:rsidR="00250AD0">
        <w:rPr>
          <w:rFonts w:ascii="Times New Roman" w:hAnsi="Times New Roman" w:cs="Times New Roman"/>
          <w:color w:val="auto"/>
          <w:u w:val="single"/>
        </w:rPr>
        <w:t>, mládeže a tělovýchovy</w:t>
      </w:r>
      <w:r>
        <w:rPr>
          <w:rFonts w:ascii="Times New Roman" w:hAnsi="Times New Roman" w:cs="Times New Roman"/>
          <w:color w:val="auto"/>
          <w:u w:val="single"/>
        </w:rPr>
        <w:t xml:space="preserve"> </w:t>
      </w:r>
      <w:r w:rsidRPr="009C712C">
        <w:rPr>
          <w:rFonts w:ascii="Times New Roman" w:hAnsi="Times New Roman" w:cs="Times New Roman"/>
          <w:color w:val="auto"/>
          <w:u w:val="single"/>
        </w:rPr>
        <w:t>plní povinnosti a vykonává pravomoci stanovené členským státům v čl.</w:t>
      </w:r>
      <w:r w:rsidR="00405932">
        <w:rPr>
          <w:rFonts w:ascii="Times New Roman" w:hAnsi="Times New Roman" w:cs="Times New Roman"/>
          <w:color w:val="auto"/>
          <w:u w:val="single"/>
        </w:rPr>
        <w:t xml:space="preserve"> </w:t>
      </w:r>
      <w:r w:rsidR="00FF62D4" w:rsidRPr="00857B2A">
        <w:rPr>
          <w:rFonts w:ascii="Times New Roman" w:hAnsi="Times New Roman" w:cs="Times New Roman"/>
          <w:color w:val="auto"/>
          <w:u w:val="single"/>
        </w:rPr>
        <w:t>31</w:t>
      </w:r>
      <w:r w:rsidR="00345B7F" w:rsidRPr="00857B2A">
        <w:rPr>
          <w:rFonts w:ascii="Times New Roman" w:hAnsi="Times New Roman" w:cs="Times New Roman"/>
          <w:color w:val="auto"/>
          <w:u w:val="single"/>
        </w:rPr>
        <w:t xml:space="preserve"> a</w:t>
      </w:r>
      <w:r w:rsidR="00036873" w:rsidRPr="00857B2A">
        <w:rPr>
          <w:rFonts w:ascii="Times New Roman" w:hAnsi="Times New Roman" w:cs="Times New Roman"/>
          <w:color w:val="auto"/>
          <w:u w:val="single"/>
        </w:rPr>
        <w:t xml:space="preserve"> čl.</w:t>
      </w:r>
      <w:r w:rsidR="00345B7F" w:rsidRPr="00857B2A">
        <w:rPr>
          <w:rFonts w:ascii="Times New Roman" w:hAnsi="Times New Roman" w:cs="Times New Roman"/>
          <w:color w:val="auto"/>
          <w:u w:val="single"/>
        </w:rPr>
        <w:t xml:space="preserve"> 46 odst. 5</w:t>
      </w:r>
      <w:r w:rsidRPr="009C712C">
        <w:rPr>
          <w:rFonts w:ascii="Times New Roman" w:hAnsi="Times New Roman" w:cs="Times New Roman"/>
          <w:color w:val="auto"/>
          <w:u w:val="single"/>
        </w:rPr>
        <w:t xml:space="preserve"> nařízení Evropského parlamentu a Rady (EU) 2024/1735.</w:t>
      </w:r>
    </w:p>
    <w:p w14:paraId="064CE163" w14:textId="2BA6F424" w:rsidR="009C712C" w:rsidRDefault="009C712C" w:rsidP="009C712C">
      <w:pPr>
        <w:pStyle w:val="Odstavecseseznamem"/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auto"/>
          <w:u w:val="single"/>
        </w:rPr>
      </w:pPr>
      <w:r w:rsidRPr="00A02AE5">
        <w:rPr>
          <w:rFonts w:ascii="Times New Roman" w:hAnsi="Times New Roman" w:cs="Times New Roman"/>
        </w:rPr>
        <w:t>(</w:t>
      </w:r>
      <w:r w:rsidR="00AF7ED7" w:rsidRPr="00A02AE5">
        <w:rPr>
          <w:rFonts w:ascii="Times New Roman" w:hAnsi="Times New Roman" w:cs="Times New Roman"/>
        </w:rPr>
        <w:t>4</w:t>
      </w:r>
      <w:r w:rsidRPr="00A02AE5">
        <w:rPr>
          <w:rFonts w:ascii="Times New Roman" w:hAnsi="Times New Roman" w:cs="Times New Roman"/>
        </w:rPr>
        <w:t>)</w:t>
      </w:r>
      <w:r w:rsidRPr="00A02AE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color w:val="auto"/>
          <w:u w:val="single"/>
        </w:rPr>
        <w:t xml:space="preserve">Ministerstvo </w:t>
      </w:r>
      <w:r w:rsidRPr="003373ED">
        <w:rPr>
          <w:rFonts w:ascii="Times New Roman" w:hAnsi="Times New Roman" w:cs="Times New Roman"/>
          <w:u w:val="single"/>
        </w:rPr>
        <w:t>životního prostředí,</w:t>
      </w:r>
      <w:r>
        <w:rPr>
          <w:rFonts w:ascii="Times New Roman" w:hAnsi="Times New Roman" w:cs="Times New Roman"/>
          <w:color w:val="auto"/>
          <w:u w:val="single"/>
        </w:rPr>
        <w:t xml:space="preserve"> </w:t>
      </w:r>
      <w:r w:rsidRPr="009C712C">
        <w:rPr>
          <w:rFonts w:ascii="Times New Roman" w:hAnsi="Times New Roman" w:cs="Times New Roman"/>
          <w:color w:val="auto"/>
          <w:u w:val="single"/>
        </w:rPr>
        <w:t xml:space="preserve">plní povinnosti a vykonává pravomoci stanovené členským státům v čl. </w:t>
      </w:r>
      <w:r w:rsidR="002471A6" w:rsidRPr="00857B2A">
        <w:rPr>
          <w:rFonts w:ascii="Times New Roman" w:hAnsi="Times New Roman" w:cs="Times New Roman"/>
          <w:color w:val="auto"/>
          <w:u w:val="single"/>
        </w:rPr>
        <w:t>23 odst. 7</w:t>
      </w:r>
      <w:r w:rsidR="00A81CC0" w:rsidRPr="00857B2A">
        <w:rPr>
          <w:rFonts w:ascii="Times New Roman" w:hAnsi="Times New Roman" w:cs="Times New Roman"/>
          <w:color w:val="auto"/>
          <w:u w:val="single"/>
        </w:rPr>
        <w:t xml:space="preserve"> </w:t>
      </w:r>
      <w:r w:rsidR="002471A6" w:rsidRPr="00857B2A">
        <w:rPr>
          <w:rFonts w:ascii="Times New Roman" w:hAnsi="Times New Roman" w:cs="Times New Roman"/>
          <w:color w:val="auto"/>
          <w:u w:val="single"/>
        </w:rPr>
        <w:t>a 10</w:t>
      </w:r>
      <w:r w:rsidR="00345B7F" w:rsidRPr="00857B2A">
        <w:rPr>
          <w:rFonts w:ascii="Times New Roman" w:hAnsi="Times New Roman" w:cs="Times New Roman"/>
          <w:color w:val="auto"/>
          <w:u w:val="single"/>
        </w:rPr>
        <w:t xml:space="preserve">, </w:t>
      </w:r>
      <w:r w:rsidR="00036873" w:rsidRPr="00857B2A">
        <w:rPr>
          <w:rFonts w:ascii="Times New Roman" w:hAnsi="Times New Roman" w:cs="Times New Roman"/>
          <w:color w:val="auto"/>
          <w:u w:val="single"/>
        </w:rPr>
        <w:t xml:space="preserve">čl. </w:t>
      </w:r>
      <w:r w:rsidR="00345B7F" w:rsidRPr="00857B2A">
        <w:rPr>
          <w:rFonts w:ascii="Times New Roman" w:hAnsi="Times New Roman" w:cs="Times New Roman"/>
          <w:color w:val="auto"/>
          <w:u w:val="single"/>
        </w:rPr>
        <w:t>46 odst. 5</w:t>
      </w:r>
      <w:r w:rsidR="00036873" w:rsidRPr="00857B2A">
        <w:rPr>
          <w:rFonts w:ascii="Times New Roman" w:hAnsi="Times New Roman" w:cs="Times New Roman"/>
          <w:color w:val="auto"/>
          <w:u w:val="single"/>
        </w:rPr>
        <w:t xml:space="preserve"> a čl. </w:t>
      </w:r>
      <w:r w:rsidR="00345B7F" w:rsidRPr="00857B2A">
        <w:rPr>
          <w:rFonts w:ascii="Times New Roman" w:hAnsi="Times New Roman" w:cs="Times New Roman"/>
          <w:color w:val="auto"/>
          <w:u w:val="single"/>
        </w:rPr>
        <w:t>47 odst. 4</w:t>
      </w:r>
      <w:r w:rsidRPr="00857B2A">
        <w:rPr>
          <w:rFonts w:ascii="Times New Roman" w:hAnsi="Times New Roman" w:cs="Times New Roman"/>
          <w:color w:val="auto"/>
          <w:u w:val="single"/>
        </w:rPr>
        <w:t xml:space="preserve"> n</w:t>
      </w:r>
      <w:r w:rsidRPr="009C712C">
        <w:rPr>
          <w:rFonts w:ascii="Times New Roman" w:hAnsi="Times New Roman" w:cs="Times New Roman"/>
          <w:color w:val="auto"/>
          <w:u w:val="single"/>
        </w:rPr>
        <w:t>ařízení Evropského parlamentu a Rady (EU) 2024/1735.</w:t>
      </w:r>
      <w:r w:rsidR="00405932">
        <w:rPr>
          <w:rFonts w:ascii="Times New Roman" w:hAnsi="Times New Roman" w:cs="Times New Roman"/>
          <w:color w:val="auto"/>
          <w:u w:val="single"/>
        </w:rPr>
        <w:t xml:space="preserve"> </w:t>
      </w:r>
    </w:p>
    <w:p w14:paraId="7FA42E30" w14:textId="11BB475A" w:rsidR="000A31A7" w:rsidRPr="00405932" w:rsidRDefault="000A31A7" w:rsidP="009C712C">
      <w:pPr>
        <w:pStyle w:val="Odstavecseseznamem"/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FF0000"/>
          <w:u w:val="single"/>
        </w:rPr>
      </w:pPr>
      <w:r w:rsidRPr="00A02AE5">
        <w:rPr>
          <w:rFonts w:ascii="Times New Roman" w:hAnsi="Times New Roman" w:cs="Times New Roman"/>
          <w:color w:val="auto"/>
        </w:rPr>
        <w:t>(5)</w:t>
      </w:r>
      <w:r w:rsidRPr="00A02AE5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  <w:u w:val="single"/>
        </w:rPr>
        <w:t xml:space="preserve">Agentura pro </w:t>
      </w:r>
      <w:r w:rsidR="00C91BB1" w:rsidRPr="00C91BB1">
        <w:rPr>
          <w:rFonts w:ascii="Times New Roman" w:hAnsi="Times New Roman" w:cs="Times New Roman"/>
          <w:color w:val="auto"/>
          <w:u w:val="single"/>
        </w:rPr>
        <w:t>podporu podnikání a investic CzechInvest</w:t>
      </w:r>
      <w:r>
        <w:rPr>
          <w:rFonts w:ascii="Times New Roman" w:hAnsi="Times New Roman" w:cs="Times New Roman"/>
          <w:color w:val="auto"/>
          <w:u w:val="single"/>
        </w:rPr>
        <w:t xml:space="preserve"> plní a vykonává pravomoci stanovené členským státům v čl. 8 </w:t>
      </w:r>
      <w:r w:rsidRPr="00824A9E">
        <w:rPr>
          <w:rFonts w:ascii="Times New Roman" w:hAnsi="Times New Roman" w:cs="Times New Roman"/>
          <w:u w:val="single"/>
        </w:rPr>
        <w:t>nařízení Evropského parlamentu a Rady (EU) 2024/1735.</w:t>
      </w:r>
    </w:p>
    <w:p w14:paraId="35A716B1" w14:textId="056CB1E9" w:rsidR="0036623B" w:rsidRPr="00EF3B28" w:rsidRDefault="00EF3B28" w:rsidP="00EF3B28">
      <w:pPr>
        <w:spacing w:before="120" w:after="120" w:line="360" w:lineRule="auto"/>
        <w:rPr>
          <w:rFonts w:ascii="Times New Roman" w:hAnsi="Times New Roman" w:cs="Times New Roman"/>
          <w:i/>
          <w:iCs/>
        </w:rPr>
      </w:pPr>
      <w:r w:rsidRPr="00EF3B28">
        <w:rPr>
          <w:rFonts w:ascii="Times New Roman" w:hAnsi="Times New Roman" w:cs="Times New Roman"/>
          <w:i/>
          <w:iCs/>
        </w:rPr>
        <w:t>CELEX 32024R1735</w:t>
      </w:r>
    </w:p>
    <w:p w14:paraId="30EACAFC" w14:textId="27789FCE" w:rsidR="00F61789" w:rsidRPr="00824A9E" w:rsidRDefault="00F61789" w:rsidP="003F62E3">
      <w:pPr>
        <w:spacing w:before="120" w:after="120" w:line="360" w:lineRule="auto"/>
        <w:jc w:val="center"/>
        <w:rPr>
          <w:rFonts w:ascii="Times New Roman" w:hAnsi="Times New Roman" w:cs="Times New Roman"/>
        </w:rPr>
      </w:pPr>
      <w:r w:rsidRPr="00824A9E">
        <w:rPr>
          <w:rFonts w:ascii="Times New Roman" w:hAnsi="Times New Roman" w:cs="Times New Roman"/>
        </w:rPr>
        <w:t>§ 3</w:t>
      </w:r>
    </w:p>
    <w:p w14:paraId="4A1BDBA6" w14:textId="1B341692" w:rsidR="00F61789" w:rsidRPr="003F62E3" w:rsidRDefault="00F61789" w:rsidP="009E3E1E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</w:rPr>
      </w:pPr>
      <w:r w:rsidRPr="003F62E3">
        <w:rPr>
          <w:rFonts w:ascii="Times New Roman" w:hAnsi="Times New Roman" w:cs="Times New Roman"/>
          <w:b/>
          <w:bCs/>
        </w:rPr>
        <w:t>Jednotné kontaktní místo</w:t>
      </w:r>
    </w:p>
    <w:p w14:paraId="0FBFEDC7" w14:textId="622ED18E" w:rsidR="0071198D" w:rsidRDefault="00722D86" w:rsidP="0071198D">
      <w:pPr>
        <w:pStyle w:val="Odstavecseseznamem"/>
        <w:numPr>
          <w:ilvl w:val="0"/>
          <w:numId w:val="12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  <w:u w:val="single"/>
        </w:rPr>
        <w:t>Místně příslušný k</w:t>
      </w:r>
      <w:r w:rsidR="00EB1D8C">
        <w:rPr>
          <w:rFonts w:ascii="Times New Roman" w:hAnsi="Times New Roman" w:cs="Times New Roman"/>
          <w:u w:val="single"/>
        </w:rPr>
        <w:t xml:space="preserve">rajský úřad </w:t>
      </w:r>
      <w:r w:rsidR="00EB1D8C" w:rsidRPr="00EB1D8C">
        <w:rPr>
          <w:rFonts w:ascii="Times New Roman" w:hAnsi="Times New Roman" w:cs="Times New Roman"/>
          <w:u w:val="single"/>
        </w:rPr>
        <w:t xml:space="preserve">je jednotným kontaktním místem ve smyslu čl. 6 odst. 1 nařízení Evropského parlamentu a Rady (EU) 2024/1735 pro stavby </w:t>
      </w:r>
      <w:bookmarkStart w:id="2" w:name="_Hlk190331632"/>
      <w:r w:rsidR="00EB1D8C" w:rsidRPr="00EB1D8C">
        <w:rPr>
          <w:rFonts w:ascii="Times New Roman" w:hAnsi="Times New Roman" w:cs="Times New Roman"/>
          <w:u w:val="single"/>
        </w:rPr>
        <w:t>určené k výrobě technologií</w:t>
      </w:r>
      <w:r w:rsidR="0015639F">
        <w:rPr>
          <w:rFonts w:ascii="Times New Roman" w:hAnsi="Times New Roman" w:cs="Times New Roman"/>
          <w:u w:val="single"/>
        </w:rPr>
        <w:t xml:space="preserve"> a komponent</w:t>
      </w:r>
      <w:r w:rsidR="00EB1D8C" w:rsidRPr="00EB1D8C">
        <w:rPr>
          <w:rFonts w:ascii="Times New Roman" w:hAnsi="Times New Roman" w:cs="Times New Roman"/>
          <w:u w:val="single"/>
        </w:rPr>
        <w:t xml:space="preserve"> pro nulové čisté emise </w:t>
      </w:r>
      <w:r w:rsidR="00EB1D8C" w:rsidRPr="004E0004">
        <w:rPr>
          <w:rFonts w:ascii="Times New Roman" w:hAnsi="Times New Roman" w:cs="Times New Roman"/>
          <w:u w:val="single"/>
        </w:rPr>
        <w:t>uveden</w:t>
      </w:r>
      <w:r w:rsidR="00EB1D8C">
        <w:rPr>
          <w:rFonts w:ascii="Times New Roman" w:hAnsi="Times New Roman" w:cs="Times New Roman"/>
          <w:u w:val="single"/>
        </w:rPr>
        <w:t>é</w:t>
      </w:r>
      <w:r w:rsidR="00EB1D8C" w:rsidRPr="004E0004">
        <w:rPr>
          <w:rFonts w:ascii="Times New Roman" w:hAnsi="Times New Roman" w:cs="Times New Roman"/>
          <w:u w:val="single"/>
        </w:rPr>
        <w:t xml:space="preserve"> v</w:t>
      </w:r>
      <w:r w:rsidR="00EB1D8C">
        <w:rPr>
          <w:rFonts w:ascii="Times New Roman" w:hAnsi="Times New Roman" w:cs="Times New Roman"/>
          <w:u w:val="single"/>
        </w:rPr>
        <w:t> seznamu v příloze k</w:t>
      </w:r>
      <w:r w:rsidR="00EB1D8C" w:rsidRPr="004E0004">
        <w:rPr>
          <w:rFonts w:ascii="Times New Roman" w:hAnsi="Times New Roman" w:cs="Times New Roman"/>
          <w:u w:val="single"/>
        </w:rPr>
        <w:t xml:space="preserve"> </w:t>
      </w:r>
      <w:r w:rsidR="00EB1D8C" w:rsidRPr="00822A1B">
        <w:rPr>
          <w:rFonts w:ascii="Times New Roman" w:hAnsi="Times New Roman" w:cs="Times New Roman"/>
          <w:u w:val="single"/>
        </w:rPr>
        <w:t>nařízení Evropského parlamentu a Rady (EU) 2024/173</w:t>
      </w:r>
      <w:r w:rsidR="0071198D">
        <w:rPr>
          <w:rFonts w:ascii="Times New Roman" w:hAnsi="Times New Roman" w:cs="Times New Roman"/>
          <w:u w:val="single"/>
        </w:rPr>
        <w:t>5</w:t>
      </w:r>
      <w:bookmarkEnd w:id="2"/>
      <w:r w:rsidR="003B4613">
        <w:rPr>
          <w:rFonts w:ascii="Times New Roman" w:hAnsi="Times New Roman" w:cs="Times New Roman"/>
          <w:u w:val="single"/>
        </w:rPr>
        <w:t xml:space="preserve"> </w:t>
      </w:r>
      <w:r w:rsidR="003B4613" w:rsidRPr="001312D1">
        <w:rPr>
          <w:rFonts w:ascii="Times New Roman" w:hAnsi="Times New Roman" w:cs="Times New Roman"/>
          <w:color w:val="auto"/>
          <w:u w:val="single"/>
        </w:rPr>
        <w:t>a dekarbonizační</w:t>
      </w:r>
      <w:r w:rsidR="00A42AE3">
        <w:rPr>
          <w:rFonts w:ascii="Times New Roman" w:hAnsi="Times New Roman" w:cs="Times New Roman"/>
          <w:color w:val="auto"/>
          <w:u w:val="single"/>
        </w:rPr>
        <w:t>ho</w:t>
      </w:r>
      <w:r w:rsidR="003B4613" w:rsidRPr="001312D1">
        <w:rPr>
          <w:rFonts w:ascii="Times New Roman" w:hAnsi="Times New Roman" w:cs="Times New Roman"/>
          <w:color w:val="auto"/>
          <w:u w:val="single"/>
        </w:rPr>
        <w:t xml:space="preserve"> </w:t>
      </w:r>
      <w:r w:rsidR="00A42AE3">
        <w:rPr>
          <w:rFonts w:ascii="Times New Roman" w:hAnsi="Times New Roman" w:cs="Times New Roman"/>
          <w:color w:val="auto"/>
          <w:u w:val="single"/>
        </w:rPr>
        <w:t>záměru</w:t>
      </w:r>
      <w:r w:rsidR="00A42AE3" w:rsidRPr="001312D1">
        <w:rPr>
          <w:rFonts w:ascii="Times New Roman" w:hAnsi="Times New Roman" w:cs="Times New Roman"/>
          <w:color w:val="auto"/>
          <w:u w:val="single"/>
        </w:rPr>
        <w:t xml:space="preserve"> </w:t>
      </w:r>
      <w:r w:rsidR="003B4613" w:rsidRPr="001312D1">
        <w:rPr>
          <w:rFonts w:ascii="Times New Roman" w:hAnsi="Times New Roman" w:cs="Times New Roman"/>
          <w:color w:val="auto"/>
          <w:u w:val="single"/>
        </w:rPr>
        <w:t>v</w:t>
      </w:r>
      <w:r w:rsidR="0032633E">
        <w:rPr>
          <w:rFonts w:ascii="Times New Roman" w:hAnsi="Times New Roman" w:cs="Times New Roman"/>
          <w:color w:val="auto"/>
          <w:u w:val="single"/>
        </w:rPr>
        <w:t> </w:t>
      </w:r>
      <w:r w:rsidR="003B4613" w:rsidRPr="001312D1">
        <w:rPr>
          <w:rFonts w:ascii="Times New Roman" w:hAnsi="Times New Roman" w:cs="Times New Roman"/>
          <w:color w:val="auto"/>
          <w:u w:val="single"/>
        </w:rPr>
        <w:t>průmyslu</w:t>
      </w:r>
      <w:r w:rsidR="0032633E">
        <w:rPr>
          <w:rFonts w:ascii="Times New Roman" w:hAnsi="Times New Roman" w:cs="Times New Roman"/>
          <w:color w:val="auto"/>
          <w:u w:val="single"/>
        </w:rPr>
        <w:t>.</w:t>
      </w:r>
      <w:r w:rsidR="0071198D" w:rsidRPr="001312D1">
        <w:rPr>
          <w:rFonts w:ascii="Times New Roman" w:hAnsi="Times New Roman" w:cs="Times New Roman"/>
          <w:color w:val="auto"/>
          <w:u w:val="single"/>
        </w:rPr>
        <w:t xml:space="preserve"> </w:t>
      </w:r>
    </w:p>
    <w:p w14:paraId="582B76B0" w14:textId="10DC2A97" w:rsidR="0032633E" w:rsidRPr="001312D1" w:rsidRDefault="0032633E" w:rsidP="0071198D">
      <w:pPr>
        <w:pStyle w:val="Odstavecseseznamem"/>
        <w:numPr>
          <w:ilvl w:val="0"/>
          <w:numId w:val="12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  <w:color w:val="auto"/>
          <w:u w:val="single"/>
        </w:rPr>
        <w:t xml:space="preserve">Dopravní a energetický stavební úřad je jednotným kontaktním místem ve smyslu čl. 6 odst. 1 </w:t>
      </w:r>
      <w:r w:rsidRPr="0032633E">
        <w:rPr>
          <w:rFonts w:ascii="Times New Roman" w:hAnsi="Times New Roman" w:cs="Times New Roman"/>
          <w:color w:val="auto"/>
          <w:u w:val="single"/>
        </w:rPr>
        <w:t>nařízení Evropského parlamentu a Rady (EU) 2024/1735</w:t>
      </w:r>
      <w:r>
        <w:rPr>
          <w:rFonts w:ascii="Times New Roman" w:hAnsi="Times New Roman" w:cs="Times New Roman"/>
          <w:color w:val="auto"/>
          <w:u w:val="single"/>
        </w:rPr>
        <w:t xml:space="preserve"> pro stavby </w:t>
      </w:r>
      <w:r w:rsidRPr="0032633E">
        <w:rPr>
          <w:rFonts w:ascii="Times New Roman" w:hAnsi="Times New Roman" w:cs="Times New Roman"/>
          <w:color w:val="auto"/>
          <w:u w:val="single"/>
        </w:rPr>
        <w:t>určené k výrobě technologií a komponent pro nulové čisté emise uvedené v seznamu v příloze k nařízení Evropského parlamentu a Rady (EU) 2024/1735které mají být umístěny v lokalitě stanovené v příloze č. 3 zákona o urychlení výstavby strategicky významné infrastruktury a staveb a zařízení, které mají sloužit k ukládání oxidu uhličitého do přírodních horninových struktur nebo k zachytávání oxidu uhličitého, a staveb přepravní sítě určených k přepravě oxidu uhličitého na úložiště oxidu uhličitého</w:t>
      </w:r>
      <w:r>
        <w:rPr>
          <w:rFonts w:ascii="Times New Roman" w:hAnsi="Times New Roman" w:cs="Times New Roman"/>
          <w:color w:val="auto"/>
          <w:u w:val="single"/>
        </w:rPr>
        <w:t>.</w:t>
      </w:r>
    </w:p>
    <w:p w14:paraId="479972ED" w14:textId="7DFF5957" w:rsidR="00EB1D8C" w:rsidRPr="001312D1" w:rsidRDefault="0071198D" w:rsidP="0071198D">
      <w:pPr>
        <w:pStyle w:val="Odstavecseseznamem"/>
        <w:numPr>
          <w:ilvl w:val="0"/>
          <w:numId w:val="12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auto"/>
          <w:u w:val="single"/>
        </w:rPr>
      </w:pPr>
      <w:r w:rsidRPr="001312D1">
        <w:rPr>
          <w:rFonts w:ascii="Times New Roman" w:hAnsi="Times New Roman" w:cs="Times New Roman"/>
          <w:color w:val="auto"/>
          <w:u w:val="single"/>
        </w:rPr>
        <w:lastRenderedPageBreak/>
        <w:t>Ministerstvo životního prostředí je jednotným kontaktním místem ve smyslu čl. 6 nařízení Evropského parlamentu a Rady (EU) 2024/1735 pro záměry podléhající posuzování vlivů na životní prostředí ve vztahu k povinnostem uvedeným v čl. 9 odst. 5 a 9 a čl. 10 odst. 1 nařízení Evropského parlamentu a Rady (EU) 2024/1735</w:t>
      </w:r>
      <w:r w:rsidR="000B43CC" w:rsidRPr="001312D1">
        <w:rPr>
          <w:rFonts w:ascii="Times New Roman" w:hAnsi="Times New Roman" w:cs="Times New Roman"/>
          <w:color w:val="auto"/>
          <w:u w:val="single"/>
        </w:rPr>
        <w:t xml:space="preserve"> a poskytuje Dopravnímu a energetickému úřadu součinnost ve věci posouzení vlivu na životní prostředí podle čl. čl. 9 odst. 5 a 9 a čl. 10 odst. 1 nařízení Evropského parlamentu a Rady (EU) 2024/1735.</w:t>
      </w:r>
    </w:p>
    <w:p w14:paraId="541F8115" w14:textId="77777777" w:rsidR="00E24D21" w:rsidRDefault="00DB4633" w:rsidP="003373ED">
      <w:pPr>
        <w:pStyle w:val="Odstavecseseznamem"/>
        <w:numPr>
          <w:ilvl w:val="0"/>
          <w:numId w:val="12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6D65E8">
        <w:rPr>
          <w:rFonts w:ascii="Times New Roman" w:hAnsi="Times New Roman" w:cs="Times New Roman"/>
          <w:u w:val="single"/>
        </w:rPr>
        <w:t>Jednotné kontaktní místo</w:t>
      </w:r>
      <w:r w:rsidR="005D554C" w:rsidRPr="006D65E8">
        <w:rPr>
          <w:rFonts w:ascii="Times New Roman" w:hAnsi="Times New Roman" w:cs="Times New Roman"/>
          <w:u w:val="single"/>
        </w:rPr>
        <w:t xml:space="preserve"> </w:t>
      </w:r>
    </w:p>
    <w:p w14:paraId="71862713" w14:textId="67836066" w:rsidR="00AC5779" w:rsidRPr="00432C36" w:rsidRDefault="005D554C" w:rsidP="00432C36">
      <w:pPr>
        <w:pStyle w:val="Odstavecseseznamem"/>
        <w:numPr>
          <w:ilvl w:val="0"/>
          <w:numId w:val="26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color w:val="auto"/>
          <w:u w:val="single"/>
        </w:rPr>
      </w:pPr>
      <w:r w:rsidRPr="006D65E8">
        <w:rPr>
          <w:rFonts w:ascii="Times New Roman" w:hAnsi="Times New Roman" w:cs="Times New Roman"/>
          <w:u w:val="single"/>
        </w:rPr>
        <w:t xml:space="preserve">plní informační a koordinační </w:t>
      </w:r>
      <w:r w:rsidR="006D65E8" w:rsidRPr="006D65E8">
        <w:rPr>
          <w:rFonts w:ascii="Times New Roman" w:hAnsi="Times New Roman" w:cs="Times New Roman"/>
          <w:u w:val="single"/>
        </w:rPr>
        <w:t xml:space="preserve">úkoly podle </w:t>
      </w:r>
      <w:r w:rsidR="006D65E8" w:rsidRPr="00CF0384">
        <w:rPr>
          <w:rFonts w:ascii="Times New Roman" w:hAnsi="Times New Roman" w:cs="Times New Roman"/>
          <w:u w:val="single"/>
        </w:rPr>
        <w:t>čl.</w:t>
      </w:r>
      <w:r w:rsidR="00921CBE">
        <w:rPr>
          <w:rFonts w:ascii="Times New Roman" w:hAnsi="Times New Roman" w:cs="Times New Roman"/>
          <w:u w:val="single"/>
        </w:rPr>
        <w:t xml:space="preserve"> 6 odst. 3</w:t>
      </w:r>
      <w:r w:rsidR="00975BC1">
        <w:rPr>
          <w:rFonts w:ascii="Times New Roman" w:hAnsi="Times New Roman" w:cs="Times New Roman"/>
          <w:u w:val="single"/>
        </w:rPr>
        <w:t xml:space="preserve"> </w:t>
      </w:r>
      <w:r w:rsidR="00975BC1" w:rsidRPr="00857B2A">
        <w:rPr>
          <w:rFonts w:ascii="Times New Roman" w:hAnsi="Times New Roman" w:cs="Times New Roman"/>
          <w:color w:val="auto"/>
          <w:u w:val="single"/>
        </w:rPr>
        <w:t>a 5</w:t>
      </w:r>
      <w:r w:rsidR="000079E2">
        <w:rPr>
          <w:rFonts w:ascii="Times New Roman" w:hAnsi="Times New Roman" w:cs="Times New Roman"/>
          <w:color w:val="auto"/>
          <w:u w:val="single"/>
        </w:rPr>
        <w:t xml:space="preserve">, </w:t>
      </w:r>
      <w:r w:rsidR="00253293">
        <w:rPr>
          <w:rFonts w:ascii="Times New Roman" w:hAnsi="Times New Roman" w:cs="Times New Roman"/>
          <w:u w:val="single"/>
        </w:rPr>
        <w:t>čl. 9</w:t>
      </w:r>
      <w:r w:rsidR="000079E2">
        <w:rPr>
          <w:rFonts w:ascii="Times New Roman" w:hAnsi="Times New Roman" w:cs="Times New Roman"/>
          <w:u w:val="single"/>
        </w:rPr>
        <w:t xml:space="preserve"> a čl. 15 odst. 1</w:t>
      </w:r>
      <w:r w:rsidR="00921CBE">
        <w:rPr>
          <w:rFonts w:ascii="Times New Roman" w:hAnsi="Times New Roman" w:cs="Times New Roman"/>
          <w:u w:val="single"/>
        </w:rPr>
        <w:t xml:space="preserve"> </w:t>
      </w:r>
      <w:r w:rsidR="006D65E8" w:rsidRPr="006D65E8">
        <w:rPr>
          <w:rFonts w:ascii="Times New Roman" w:hAnsi="Times New Roman" w:cs="Times New Roman"/>
          <w:u w:val="single"/>
        </w:rPr>
        <w:t>nařízení Evropského parlamentu a Rady (EU) 2024/1735</w:t>
      </w:r>
      <w:r w:rsidR="00927CF3">
        <w:rPr>
          <w:rFonts w:ascii="Times New Roman" w:hAnsi="Times New Roman" w:cs="Times New Roman"/>
          <w:u w:val="single"/>
        </w:rPr>
        <w:t>,</w:t>
      </w:r>
    </w:p>
    <w:p w14:paraId="0BF8C277" w14:textId="35C2C650" w:rsidR="00AC5779" w:rsidRDefault="00AC5779" w:rsidP="005A2E28">
      <w:pPr>
        <w:pStyle w:val="Odstavecseseznamem"/>
        <w:numPr>
          <w:ilvl w:val="0"/>
          <w:numId w:val="26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color w:val="auto"/>
          <w:u w:val="single"/>
        </w:rPr>
      </w:pPr>
      <w:r w:rsidRPr="00432C36">
        <w:rPr>
          <w:rFonts w:ascii="Times New Roman" w:hAnsi="Times New Roman" w:cs="Times New Roman"/>
          <w:color w:val="auto"/>
          <w:u w:val="single"/>
        </w:rPr>
        <w:t>poskyt</w:t>
      </w:r>
      <w:r w:rsidR="00E24D21" w:rsidRPr="00432C36">
        <w:rPr>
          <w:rFonts w:ascii="Times New Roman" w:hAnsi="Times New Roman" w:cs="Times New Roman"/>
          <w:color w:val="auto"/>
          <w:u w:val="single"/>
        </w:rPr>
        <w:t xml:space="preserve">uje </w:t>
      </w:r>
      <w:r w:rsidRPr="00432C36">
        <w:rPr>
          <w:rFonts w:ascii="Times New Roman" w:hAnsi="Times New Roman" w:cs="Times New Roman"/>
          <w:color w:val="auto"/>
          <w:u w:val="single"/>
        </w:rPr>
        <w:t xml:space="preserve">ministerstvu </w:t>
      </w:r>
      <w:r w:rsidR="00432C36" w:rsidRPr="00432C36">
        <w:rPr>
          <w:rFonts w:ascii="Times New Roman" w:hAnsi="Times New Roman" w:cs="Times New Roman"/>
          <w:color w:val="auto"/>
          <w:u w:val="single"/>
        </w:rPr>
        <w:t xml:space="preserve">do 31. ledna kalendářního roku následujícího po roce, kterého se uvedené informace týkají, </w:t>
      </w:r>
      <w:r w:rsidR="00E24D21" w:rsidRPr="00432C36">
        <w:rPr>
          <w:rFonts w:ascii="Times New Roman" w:hAnsi="Times New Roman" w:cs="Times New Roman"/>
          <w:color w:val="auto"/>
          <w:u w:val="single"/>
        </w:rPr>
        <w:t>informace</w:t>
      </w:r>
      <w:r w:rsidRPr="00432C36">
        <w:rPr>
          <w:rFonts w:ascii="Times New Roman" w:hAnsi="Times New Roman" w:cs="Times New Roman"/>
          <w:color w:val="auto"/>
          <w:u w:val="single"/>
        </w:rPr>
        <w:t xml:space="preserve"> v rozsahu čl. 42 odst. 2 nařízení</w:t>
      </w:r>
      <w:r w:rsidR="00E24D21" w:rsidRPr="00432C36">
        <w:rPr>
          <w:rFonts w:ascii="Times New Roman" w:hAnsi="Times New Roman" w:cs="Times New Roman"/>
          <w:color w:val="auto"/>
          <w:u w:val="single"/>
        </w:rPr>
        <w:t xml:space="preserve"> Evropského parlamentu a Rady (EU) 2024/1735</w:t>
      </w:r>
      <w:r w:rsidR="00927CF3">
        <w:rPr>
          <w:rFonts w:ascii="Times New Roman" w:hAnsi="Times New Roman" w:cs="Times New Roman"/>
          <w:color w:val="auto"/>
          <w:u w:val="single"/>
        </w:rPr>
        <w:t xml:space="preserve"> a</w:t>
      </w:r>
    </w:p>
    <w:p w14:paraId="0C3EBF6F" w14:textId="392A12D9" w:rsidR="00927CF3" w:rsidRPr="00C1041A" w:rsidRDefault="00927CF3" w:rsidP="005A2E28">
      <w:pPr>
        <w:pStyle w:val="Odstavecseseznamem"/>
        <w:numPr>
          <w:ilvl w:val="0"/>
          <w:numId w:val="26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color w:val="auto"/>
          <w:u w:val="single"/>
        </w:rPr>
      </w:pPr>
      <w:r w:rsidRPr="00C1041A">
        <w:rPr>
          <w:rFonts w:ascii="Times New Roman" w:hAnsi="Times New Roman" w:cs="Times New Roman"/>
          <w:color w:val="auto"/>
          <w:u w:val="single"/>
        </w:rPr>
        <w:t xml:space="preserve">s výjimkou </w:t>
      </w:r>
      <w:r w:rsidRPr="003D7453">
        <w:rPr>
          <w:rFonts w:ascii="Times New Roman" w:hAnsi="Times New Roman" w:cs="Times New Roman"/>
          <w:color w:val="auto"/>
          <w:u w:val="single"/>
        </w:rPr>
        <w:t xml:space="preserve">odstavce </w:t>
      </w:r>
      <w:r w:rsidR="0032633E" w:rsidRPr="003D7453">
        <w:rPr>
          <w:rFonts w:ascii="Times New Roman" w:hAnsi="Times New Roman" w:cs="Times New Roman"/>
          <w:color w:val="auto"/>
          <w:u w:val="single"/>
        </w:rPr>
        <w:t>3</w:t>
      </w:r>
      <w:r w:rsidRPr="003D7453">
        <w:rPr>
          <w:rFonts w:ascii="Times New Roman" w:hAnsi="Times New Roman" w:cs="Times New Roman"/>
          <w:color w:val="auto"/>
          <w:u w:val="single"/>
        </w:rPr>
        <w:t xml:space="preserve"> j</w:t>
      </w:r>
      <w:r w:rsidRPr="00C1041A">
        <w:rPr>
          <w:rFonts w:ascii="Times New Roman" w:hAnsi="Times New Roman" w:cs="Times New Roman"/>
          <w:color w:val="auto"/>
          <w:u w:val="single"/>
        </w:rPr>
        <w:t>e jednotné kontaktní místo stavebním úřadem podle jiného právního předpisu</w:t>
      </w:r>
      <w:r w:rsidRPr="00C1041A">
        <w:rPr>
          <w:rStyle w:val="Znakapoznpodarou"/>
          <w:rFonts w:ascii="Times New Roman" w:hAnsi="Times New Roman" w:cs="Times New Roman"/>
          <w:color w:val="auto"/>
          <w:u w:val="single"/>
        </w:rPr>
        <w:footnoteReference w:id="2"/>
      </w:r>
      <w:r w:rsidRPr="00C1041A">
        <w:rPr>
          <w:rFonts w:ascii="Times New Roman" w:hAnsi="Times New Roman" w:cs="Times New Roman"/>
          <w:color w:val="auto"/>
          <w:u w:val="single"/>
        </w:rPr>
        <w:t>.</w:t>
      </w:r>
    </w:p>
    <w:p w14:paraId="05FDB460" w14:textId="7B19C288" w:rsidR="005939CD" w:rsidRPr="00E24D21" w:rsidRDefault="006D65E8" w:rsidP="00432C36">
      <w:pPr>
        <w:pStyle w:val="Odstavecseseznamem"/>
        <w:numPr>
          <w:ilvl w:val="0"/>
          <w:numId w:val="12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E24D21">
        <w:rPr>
          <w:rFonts w:ascii="Times New Roman" w:hAnsi="Times New Roman" w:cs="Times New Roman"/>
          <w:u w:val="single"/>
        </w:rPr>
        <w:t>Každý, kdo hodlá žádat o realizaci projektu podle nařízení Evropského parlamentu a Rady (EU) 2024/1735 má právo, aby po dostatečném doložení záměru obdržel vyjádření jednotného kontaktního místa, zda je tento záměr z hlediska zájmů chráněných podle tohoto zákona, možný, nebo jím předložené podklady pro zahájení řízení úplné. Vyjádření jednotného kontaktního místa není rozhodnutím ve správním řízení a nenahrazuje povolení nebo souhlas se záměrem podle tohoto zákona.</w:t>
      </w:r>
      <w:r w:rsidR="001A2C68" w:rsidRPr="00E24D21">
        <w:rPr>
          <w:rFonts w:ascii="Times New Roman" w:hAnsi="Times New Roman" w:cs="Times New Roman"/>
          <w:u w:val="single"/>
        </w:rPr>
        <w:t xml:space="preserve"> </w:t>
      </w:r>
      <w:r w:rsidR="00E36DE0" w:rsidRPr="00E24D21">
        <w:rPr>
          <w:rFonts w:ascii="Times New Roman" w:hAnsi="Times New Roman" w:cs="Times New Roman"/>
          <w:u w:val="single"/>
        </w:rPr>
        <w:t xml:space="preserve"> </w:t>
      </w:r>
    </w:p>
    <w:p w14:paraId="47C0E1D8" w14:textId="526CCEB9" w:rsidR="003F62E3" w:rsidRPr="00EF3B28" w:rsidRDefault="00EF3B28" w:rsidP="00EF3B28">
      <w:pPr>
        <w:spacing w:before="120" w:after="120" w:line="360" w:lineRule="auto"/>
        <w:rPr>
          <w:rFonts w:ascii="Times New Roman" w:hAnsi="Times New Roman" w:cs="Times New Roman"/>
          <w:i/>
          <w:iCs/>
        </w:rPr>
      </w:pPr>
      <w:r w:rsidRPr="00EF3B28">
        <w:rPr>
          <w:rFonts w:ascii="Times New Roman" w:hAnsi="Times New Roman" w:cs="Times New Roman"/>
          <w:i/>
          <w:iCs/>
        </w:rPr>
        <w:t>CELEX 32024R1735</w:t>
      </w:r>
    </w:p>
    <w:p w14:paraId="35439628" w14:textId="06676601" w:rsidR="003F62E3" w:rsidRPr="003F62E3" w:rsidRDefault="003F62E3" w:rsidP="003F62E3">
      <w:pPr>
        <w:spacing w:before="120" w:after="120" w:line="360" w:lineRule="auto"/>
        <w:jc w:val="center"/>
        <w:rPr>
          <w:rFonts w:ascii="Times New Roman" w:hAnsi="Times New Roman" w:cs="Times New Roman"/>
        </w:rPr>
      </w:pPr>
      <w:r w:rsidRPr="003F62E3">
        <w:rPr>
          <w:rFonts w:ascii="Times New Roman" w:hAnsi="Times New Roman" w:cs="Times New Roman"/>
        </w:rPr>
        <w:t>§ 4</w:t>
      </w:r>
    </w:p>
    <w:p w14:paraId="7CE448BB" w14:textId="77777777" w:rsidR="003F62E3" w:rsidRPr="003F62E3" w:rsidRDefault="003F62E3" w:rsidP="003F62E3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</w:rPr>
      </w:pPr>
      <w:r w:rsidRPr="003F62E3">
        <w:rPr>
          <w:rFonts w:ascii="Times New Roman" w:hAnsi="Times New Roman" w:cs="Times New Roman"/>
          <w:b/>
          <w:bCs/>
        </w:rPr>
        <w:t>Strategický projekt pro nulové čisté emise</w:t>
      </w:r>
    </w:p>
    <w:p w14:paraId="5FD43C80" w14:textId="6681AB68" w:rsidR="005D2236" w:rsidRDefault="003F62E3" w:rsidP="005A2E28">
      <w:pPr>
        <w:pStyle w:val="Odstavecseseznamem"/>
        <w:numPr>
          <w:ilvl w:val="0"/>
          <w:numId w:val="14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3F62E3">
        <w:rPr>
          <w:rFonts w:ascii="Times New Roman" w:hAnsi="Times New Roman" w:cs="Times New Roman"/>
          <w:u w:val="single"/>
        </w:rPr>
        <w:t>Žádost o uznání projektu výroby technologií</w:t>
      </w:r>
      <w:r w:rsidR="0015639F">
        <w:rPr>
          <w:rFonts w:ascii="Times New Roman" w:hAnsi="Times New Roman" w:cs="Times New Roman"/>
          <w:u w:val="single"/>
        </w:rPr>
        <w:t xml:space="preserve"> a komponent </w:t>
      </w:r>
      <w:r w:rsidRPr="003F62E3">
        <w:rPr>
          <w:rFonts w:ascii="Times New Roman" w:hAnsi="Times New Roman" w:cs="Times New Roman"/>
          <w:u w:val="single"/>
        </w:rPr>
        <w:t>pro nulové čisté emise</w:t>
      </w:r>
      <w:r w:rsidR="0015639F">
        <w:rPr>
          <w:rFonts w:ascii="Times New Roman" w:hAnsi="Times New Roman" w:cs="Times New Roman"/>
          <w:u w:val="single"/>
        </w:rPr>
        <w:t xml:space="preserve"> </w:t>
      </w:r>
      <w:r w:rsidR="0015639F" w:rsidRPr="004E0004">
        <w:rPr>
          <w:rFonts w:ascii="Times New Roman" w:hAnsi="Times New Roman" w:cs="Times New Roman"/>
          <w:u w:val="single"/>
        </w:rPr>
        <w:t>uveden</w:t>
      </w:r>
      <w:r w:rsidR="0015639F">
        <w:rPr>
          <w:rFonts w:ascii="Times New Roman" w:hAnsi="Times New Roman" w:cs="Times New Roman"/>
          <w:u w:val="single"/>
        </w:rPr>
        <w:t>é</w:t>
      </w:r>
      <w:r w:rsidR="0015639F" w:rsidRPr="004E0004">
        <w:rPr>
          <w:rFonts w:ascii="Times New Roman" w:hAnsi="Times New Roman" w:cs="Times New Roman"/>
          <w:u w:val="single"/>
        </w:rPr>
        <w:t xml:space="preserve"> v</w:t>
      </w:r>
      <w:r w:rsidR="0015639F">
        <w:rPr>
          <w:rFonts w:ascii="Times New Roman" w:hAnsi="Times New Roman" w:cs="Times New Roman"/>
          <w:u w:val="single"/>
        </w:rPr>
        <w:t> seznamu v příloze k</w:t>
      </w:r>
      <w:r w:rsidR="0015639F" w:rsidRPr="004E0004">
        <w:rPr>
          <w:rFonts w:ascii="Times New Roman" w:hAnsi="Times New Roman" w:cs="Times New Roman"/>
          <w:u w:val="single"/>
        </w:rPr>
        <w:t xml:space="preserve"> </w:t>
      </w:r>
      <w:r w:rsidR="0015639F" w:rsidRPr="00822A1B">
        <w:rPr>
          <w:rFonts w:ascii="Times New Roman" w:hAnsi="Times New Roman" w:cs="Times New Roman"/>
          <w:u w:val="single"/>
        </w:rPr>
        <w:t>nařízení Evropského parlamentu a Rady (EU) 2024/173</w:t>
      </w:r>
      <w:r w:rsidR="0015639F">
        <w:rPr>
          <w:rFonts w:ascii="Times New Roman" w:hAnsi="Times New Roman" w:cs="Times New Roman"/>
          <w:u w:val="single"/>
        </w:rPr>
        <w:t>5</w:t>
      </w:r>
      <w:r w:rsidR="00E613EE">
        <w:rPr>
          <w:rFonts w:ascii="Times New Roman" w:hAnsi="Times New Roman" w:cs="Times New Roman"/>
          <w:u w:val="single"/>
        </w:rPr>
        <w:t xml:space="preserve">, dekarbonizačního </w:t>
      </w:r>
      <w:r w:rsidR="00A42AE3">
        <w:rPr>
          <w:rFonts w:ascii="Times New Roman" w:hAnsi="Times New Roman" w:cs="Times New Roman"/>
          <w:u w:val="single"/>
        </w:rPr>
        <w:t xml:space="preserve">záměru v průmyslu </w:t>
      </w:r>
      <w:r w:rsidR="008D0CB1">
        <w:rPr>
          <w:rFonts w:ascii="Times New Roman" w:hAnsi="Times New Roman" w:cs="Times New Roman"/>
          <w:u w:val="single"/>
        </w:rPr>
        <w:t>a projektu s</w:t>
      </w:r>
      <w:r w:rsidR="008D0CB1" w:rsidRPr="008D0CB1">
        <w:rPr>
          <w:rFonts w:ascii="Times New Roman" w:hAnsi="Times New Roman" w:cs="Times New Roman"/>
          <w:u w:val="single"/>
        </w:rPr>
        <w:t>tavby a zařízení, které mají sloužit k ukládání oxidu uhličitého do přírodních horninových struktur nebo k zachytávání oxidu uhličitého, a stavby přepravní sítě určené k přepravě oxidu uhličitého na úložiště oxidu uhličitého</w:t>
      </w:r>
      <w:r w:rsidR="00570584">
        <w:rPr>
          <w:rFonts w:ascii="Times New Roman" w:hAnsi="Times New Roman" w:cs="Times New Roman"/>
          <w:u w:val="single"/>
        </w:rPr>
        <w:t>, (dále jen „projekt pro nulové čisté emise“)</w:t>
      </w:r>
      <w:r w:rsidR="008D0CB1">
        <w:rPr>
          <w:rFonts w:ascii="Times New Roman" w:hAnsi="Times New Roman" w:cs="Times New Roman"/>
          <w:u w:val="single"/>
        </w:rPr>
        <w:t xml:space="preserve"> </w:t>
      </w:r>
      <w:r w:rsidR="008D0CB1" w:rsidRPr="008D0CB1">
        <w:rPr>
          <w:rFonts w:ascii="Times New Roman" w:hAnsi="Times New Roman" w:cs="Times New Roman"/>
          <w:u w:val="single"/>
        </w:rPr>
        <w:t>za strategický projekt</w:t>
      </w:r>
      <w:r w:rsidR="00E613EE">
        <w:rPr>
          <w:rFonts w:ascii="Times New Roman" w:hAnsi="Times New Roman" w:cs="Times New Roman"/>
          <w:u w:val="single"/>
        </w:rPr>
        <w:t xml:space="preserve"> </w:t>
      </w:r>
      <w:r w:rsidR="00E613EE" w:rsidRPr="00E613EE">
        <w:rPr>
          <w:rFonts w:ascii="Times New Roman" w:hAnsi="Times New Roman" w:cs="Times New Roman"/>
          <w:u w:val="single"/>
        </w:rPr>
        <w:t>pro nulové čisté emise</w:t>
      </w:r>
      <w:r w:rsidR="008D0CB1">
        <w:rPr>
          <w:rFonts w:ascii="Times New Roman" w:hAnsi="Times New Roman" w:cs="Times New Roman"/>
          <w:u w:val="single"/>
        </w:rPr>
        <w:t xml:space="preserve"> </w:t>
      </w:r>
      <w:r w:rsidRPr="003F62E3">
        <w:rPr>
          <w:rFonts w:ascii="Times New Roman" w:hAnsi="Times New Roman" w:cs="Times New Roman"/>
          <w:u w:val="single"/>
        </w:rPr>
        <w:t>se předkládá</w:t>
      </w:r>
      <w:r w:rsidR="003D35F2">
        <w:rPr>
          <w:rFonts w:ascii="Times New Roman" w:hAnsi="Times New Roman" w:cs="Times New Roman"/>
          <w:u w:val="single"/>
        </w:rPr>
        <w:t xml:space="preserve"> podle čl. 14 </w:t>
      </w:r>
      <w:r w:rsidR="003D35F2" w:rsidRPr="003D35F2">
        <w:rPr>
          <w:rFonts w:ascii="Times New Roman" w:hAnsi="Times New Roman" w:cs="Times New Roman"/>
          <w:u w:val="single"/>
        </w:rPr>
        <w:t>nařízení Evropského parlamentu a Rady (EU) 2024/1735</w:t>
      </w:r>
      <w:r w:rsidRPr="003F62E3">
        <w:rPr>
          <w:rFonts w:ascii="Times New Roman" w:hAnsi="Times New Roman" w:cs="Times New Roman"/>
          <w:u w:val="single"/>
        </w:rPr>
        <w:t xml:space="preserve"> ministerstvu.</w:t>
      </w:r>
      <w:r w:rsidR="00432C36">
        <w:rPr>
          <w:rFonts w:ascii="Times New Roman" w:hAnsi="Times New Roman" w:cs="Times New Roman"/>
          <w:u w:val="single"/>
        </w:rPr>
        <w:t xml:space="preserve"> </w:t>
      </w:r>
    </w:p>
    <w:p w14:paraId="5EB2385D" w14:textId="04AB76C4" w:rsidR="003F62E3" w:rsidRPr="005A2E28" w:rsidRDefault="003F62E3" w:rsidP="005A2E28">
      <w:pPr>
        <w:pStyle w:val="Odstavecseseznamem"/>
        <w:numPr>
          <w:ilvl w:val="0"/>
          <w:numId w:val="14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5A2E28">
        <w:rPr>
          <w:rFonts w:ascii="Times New Roman" w:hAnsi="Times New Roman" w:cs="Times New Roman"/>
          <w:u w:val="single"/>
        </w:rPr>
        <w:t>Žádost o uznání projektu pro nulové čisté emise za strategický projekt pro nulové čisté emise</w:t>
      </w:r>
      <w:r w:rsidR="00115CAD">
        <w:rPr>
          <w:rFonts w:ascii="Times New Roman" w:hAnsi="Times New Roman" w:cs="Times New Roman"/>
          <w:u w:val="single"/>
        </w:rPr>
        <w:t>, (dále jen „žádost“)</w:t>
      </w:r>
      <w:r w:rsidRPr="005A2E28">
        <w:rPr>
          <w:rFonts w:ascii="Times New Roman" w:hAnsi="Times New Roman" w:cs="Times New Roman"/>
          <w:u w:val="single"/>
        </w:rPr>
        <w:t xml:space="preserve"> se podává na formuláři, jehož vzor stanoví ministerstvo vyhláškou, a s výjimkou případů stanovených v čl. 13</w:t>
      </w:r>
      <w:r w:rsidR="003D35F2">
        <w:rPr>
          <w:rFonts w:ascii="Times New Roman" w:hAnsi="Times New Roman" w:cs="Times New Roman"/>
          <w:u w:val="single"/>
        </w:rPr>
        <w:t xml:space="preserve"> odst. 4 a 5</w:t>
      </w:r>
      <w:r w:rsidRPr="005A2E28">
        <w:rPr>
          <w:rFonts w:ascii="Times New Roman" w:hAnsi="Times New Roman" w:cs="Times New Roman"/>
          <w:u w:val="single"/>
        </w:rPr>
        <w:t xml:space="preserve"> nařízení Evropského parlamentu a Rady (EU) 2024/1735 musí obsahovat náležitosti stanovené čl. 14 odst. 2 </w:t>
      </w:r>
      <w:r w:rsidR="003D35F2">
        <w:rPr>
          <w:rFonts w:ascii="Times New Roman" w:hAnsi="Times New Roman" w:cs="Times New Roman"/>
          <w:u w:val="single"/>
        </w:rPr>
        <w:t xml:space="preserve">nebo 3 </w:t>
      </w:r>
      <w:bookmarkStart w:id="3" w:name="_Hlk190247988"/>
      <w:r w:rsidRPr="005A2E28">
        <w:rPr>
          <w:rFonts w:ascii="Times New Roman" w:hAnsi="Times New Roman" w:cs="Times New Roman"/>
          <w:u w:val="single"/>
        </w:rPr>
        <w:t>nařízení Evropského parlamentu a Rady (EU) 2024/1735</w:t>
      </w:r>
      <w:bookmarkEnd w:id="3"/>
      <w:r w:rsidRPr="005A2E28">
        <w:rPr>
          <w:rFonts w:ascii="Times New Roman" w:hAnsi="Times New Roman" w:cs="Times New Roman"/>
          <w:u w:val="single"/>
        </w:rPr>
        <w:t xml:space="preserve">. </w:t>
      </w:r>
      <w:r w:rsidR="005D2236">
        <w:rPr>
          <w:rFonts w:ascii="Times New Roman" w:hAnsi="Times New Roman" w:cs="Times New Roman"/>
          <w:u w:val="single"/>
        </w:rPr>
        <w:t xml:space="preserve">Pokládá-li ministerstvo žádost za úplnou, oznámí to žadateli. </w:t>
      </w:r>
      <w:r w:rsidRPr="005A2E28">
        <w:rPr>
          <w:rFonts w:ascii="Times New Roman" w:hAnsi="Times New Roman" w:cs="Times New Roman"/>
          <w:u w:val="single"/>
        </w:rPr>
        <w:t>V případě, že žádost není úplná, vyzve ministerstvo předkladatele žádosti k doplnění pouze jednou.</w:t>
      </w:r>
    </w:p>
    <w:p w14:paraId="76291E8D" w14:textId="6A15CC7B" w:rsidR="003F62E3" w:rsidRDefault="003F62E3" w:rsidP="003373ED">
      <w:pPr>
        <w:pStyle w:val="Odstavecseseznamem"/>
        <w:numPr>
          <w:ilvl w:val="0"/>
          <w:numId w:val="14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 w:rsidRPr="003F62E3">
        <w:rPr>
          <w:rFonts w:ascii="Times New Roman" w:hAnsi="Times New Roman" w:cs="Times New Roman"/>
          <w:u w:val="single"/>
        </w:rPr>
        <w:t xml:space="preserve">Ministerstvo posoudí žádost z hlediska předpokladů naplnění kvalifikačních kritérií stanovených nařízením Evropského parlamentu a Rady (EU) 2024/1735, k čemuž si </w:t>
      </w:r>
      <w:r w:rsidR="00DA1E66">
        <w:rPr>
          <w:rFonts w:ascii="Times New Roman" w:hAnsi="Times New Roman" w:cs="Times New Roman"/>
          <w:u w:val="single"/>
        </w:rPr>
        <w:t xml:space="preserve">může </w:t>
      </w:r>
      <w:r w:rsidRPr="003F62E3">
        <w:rPr>
          <w:rFonts w:ascii="Times New Roman" w:hAnsi="Times New Roman" w:cs="Times New Roman"/>
          <w:u w:val="single"/>
        </w:rPr>
        <w:t>vyžád</w:t>
      </w:r>
      <w:r w:rsidR="00DA1E66">
        <w:rPr>
          <w:rFonts w:ascii="Times New Roman" w:hAnsi="Times New Roman" w:cs="Times New Roman"/>
          <w:u w:val="single"/>
        </w:rPr>
        <w:t>at</w:t>
      </w:r>
      <w:r w:rsidRPr="003F62E3">
        <w:rPr>
          <w:rFonts w:ascii="Times New Roman" w:hAnsi="Times New Roman" w:cs="Times New Roman"/>
          <w:u w:val="single"/>
        </w:rPr>
        <w:t xml:space="preserve">  stanovisko Ministerstva </w:t>
      </w:r>
      <w:r w:rsidRPr="003F62E3">
        <w:rPr>
          <w:rFonts w:ascii="Times New Roman" w:hAnsi="Times New Roman" w:cs="Times New Roman"/>
          <w:u w:val="single"/>
        </w:rPr>
        <w:lastRenderedPageBreak/>
        <w:t>životního prostředí</w:t>
      </w:r>
      <w:r w:rsidR="00DA1E66">
        <w:rPr>
          <w:rFonts w:ascii="Times New Roman" w:hAnsi="Times New Roman" w:cs="Times New Roman"/>
          <w:u w:val="single"/>
        </w:rPr>
        <w:t xml:space="preserve"> k čl. </w:t>
      </w:r>
      <w:bookmarkStart w:id="4" w:name="_Hlk190248178"/>
      <w:r w:rsidR="00DA1E66">
        <w:rPr>
          <w:rFonts w:ascii="Times New Roman" w:hAnsi="Times New Roman" w:cs="Times New Roman"/>
          <w:u w:val="single"/>
        </w:rPr>
        <w:t xml:space="preserve">13 odst. 1 písm. a) bodu i) </w:t>
      </w:r>
      <w:bookmarkEnd w:id="4"/>
      <w:r w:rsidR="00DA1E66">
        <w:rPr>
          <w:rFonts w:ascii="Times New Roman" w:hAnsi="Times New Roman" w:cs="Times New Roman"/>
          <w:u w:val="single"/>
        </w:rPr>
        <w:t xml:space="preserve">a písmene c) </w:t>
      </w:r>
      <w:r w:rsidR="00DA1E66" w:rsidRPr="00DA1E66">
        <w:rPr>
          <w:rFonts w:ascii="Times New Roman" w:hAnsi="Times New Roman" w:cs="Times New Roman"/>
          <w:u w:val="single"/>
        </w:rPr>
        <w:t>nařízení Evropského parlamentu a Rady (EU) 2024/1735</w:t>
      </w:r>
      <w:r w:rsidR="00DA1E66">
        <w:rPr>
          <w:rFonts w:ascii="Times New Roman" w:hAnsi="Times New Roman" w:cs="Times New Roman"/>
          <w:u w:val="single"/>
        </w:rPr>
        <w:t xml:space="preserve">, </w:t>
      </w:r>
      <w:r w:rsidRPr="003F62E3">
        <w:rPr>
          <w:rFonts w:ascii="Times New Roman" w:hAnsi="Times New Roman" w:cs="Times New Roman"/>
          <w:u w:val="single"/>
        </w:rPr>
        <w:t xml:space="preserve"> Ministerstva práce a sociálních věcí</w:t>
      </w:r>
      <w:r w:rsidR="00DA1E66">
        <w:rPr>
          <w:rFonts w:ascii="Times New Roman" w:hAnsi="Times New Roman" w:cs="Times New Roman"/>
          <w:u w:val="single"/>
        </w:rPr>
        <w:t xml:space="preserve"> k </w:t>
      </w:r>
      <w:r w:rsidR="00DA1E66" w:rsidRPr="00DA1E66">
        <w:rPr>
          <w:rFonts w:ascii="Times New Roman" w:hAnsi="Times New Roman" w:cs="Times New Roman"/>
          <w:u w:val="single"/>
        </w:rPr>
        <w:t>čl. 13 odst. 1 písm. a) bodu i)</w:t>
      </w:r>
      <w:r w:rsidR="00DA1E66">
        <w:rPr>
          <w:rFonts w:ascii="Times New Roman" w:hAnsi="Times New Roman" w:cs="Times New Roman"/>
          <w:u w:val="single"/>
        </w:rPr>
        <w:t xml:space="preserve">  </w:t>
      </w:r>
      <w:r w:rsidR="00DA1E66" w:rsidRPr="00DA1E66">
        <w:rPr>
          <w:rFonts w:ascii="Times New Roman" w:hAnsi="Times New Roman" w:cs="Times New Roman"/>
          <w:u w:val="single"/>
        </w:rPr>
        <w:t>nařízení Evropského parlamentu a Rady (EU) 2024/1735</w:t>
      </w:r>
      <w:r w:rsidR="00DA1E66">
        <w:rPr>
          <w:rFonts w:ascii="Times New Roman" w:hAnsi="Times New Roman" w:cs="Times New Roman"/>
          <w:u w:val="single"/>
        </w:rPr>
        <w:t xml:space="preserve"> a Ministerstva školství, mládeže a tělovýchovy </w:t>
      </w:r>
      <w:r w:rsidR="004032AF">
        <w:rPr>
          <w:rFonts w:ascii="Times New Roman" w:hAnsi="Times New Roman" w:cs="Times New Roman"/>
          <w:u w:val="single"/>
        </w:rPr>
        <w:t xml:space="preserve">k čl. </w:t>
      </w:r>
      <w:r w:rsidR="004032AF" w:rsidRPr="004032AF">
        <w:rPr>
          <w:rFonts w:ascii="Times New Roman" w:hAnsi="Times New Roman" w:cs="Times New Roman"/>
          <w:u w:val="single"/>
        </w:rPr>
        <w:t>13 odst. 1 písm. a) bodu i)</w:t>
      </w:r>
      <w:r w:rsidR="004032AF">
        <w:rPr>
          <w:rFonts w:ascii="Times New Roman" w:hAnsi="Times New Roman" w:cs="Times New Roman"/>
          <w:u w:val="single"/>
        </w:rPr>
        <w:t xml:space="preserve"> </w:t>
      </w:r>
      <w:r w:rsidR="004032AF" w:rsidRPr="004032AF">
        <w:rPr>
          <w:rFonts w:ascii="Times New Roman" w:hAnsi="Times New Roman" w:cs="Times New Roman"/>
          <w:u w:val="single"/>
        </w:rPr>
        <w:t>nařízení Evropského parlamentu a Rady (EU) 2024/1735</w:t>
      </w:r>
      <w:r w:rsidRPr="003F62E3">
        <w:rPr>
          <w:rFonts w:ascii="Times New Roman" w:hAnsi="Times New Roman" w:cs="Times New Roman"/>
          <w:u w:val="single"/>
        </w:rPr>
        <w:t>. Ministerstvo životního prostředí</w:t>
      </w:r>
      <w:r w:rsidR="004032AF">
        <w:rPr>
          <w:rFonts w:ascii="Times New Roman" w:hAnsi="Times New Roman" w:cs="Times New Roman"/>
          <w:u w:val="single"/>
        </w:rPr>
        <w:t>,</w:t>
      </w:r>
      <w:r w:rsidRPr="003F62E3">
        <w:rPr>
          <w:rFonts w:ascii="Times New Roman" w:hAnsi="Times New Roman" w:cs="Times New Roman"/>
          <w:u w:val="single"/>
        </w:rPr>
        <w:t xml:space="preserve"> Ministerstvo práce a sociálních věcí </w:t>
      </w:r>
      <w:r w:rsidR="004032AF">
        <w:rPr>
          <w:rFonts w:ascii="Times New Roman" w:hAnsi="Times New Roman" w:cs="Times New Roman"/>
          <w:u w:val="single"/>
        </w:rPr>
        <w:t xml:space="preserve">a Ministerstvo školství, mládeže a tělovýchovy </w:t>
      </w:r>
      <w:r w:rsidRPr="003F62E3">
        <w:rPr>
          <w:rFonts w:ascii="Times New Roman" w:hAnsi="Times New Roman" w:cs="Times New Roman"/>
          <w:u w:val="single"/>
        </w:rPr>
        <w:t>vydají své stanovisko do dvou týdnů od obdržení žádosti ministerstva</w:t>
      </w:r>
      <w:r w:rsidR="008D0CB1">
        <w:rPr>
          <w:rFonts w:ascii="Times New Roman" w:hAnsi="Times New Roman" w:cs="Times New Roman"/>
          <w:u w:val="single"/>
        </w:rPr>
        <w:t xml:space="preserve">. </w:t>
      </w:r>
    </w:p>
    <w:p w14:paraId="070C1E0F" w14:textId="0EB0F23E" w:rsidR="003F62E3" w:rsidRPr="00432C36" w:rsidRDefault="005D2236" w:rsidP="00432C36">
      <w:pPr>
        <w:pStyle w:val="Odstavecseseznamem"/>
        <w:numPr>
          <w:ilvl w:val="0"/>
          <w:numId w:val="14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Ode dne potvrzení úplnosti žádosti</w:t>
      </w:r>
      <w:r w:rsidR="00115CAD">
        <w:rPr>
          <w:rFonts w:ascii="Times New Roman" w:hAnsi="Times New Roman" w:cs="Times New Roman"/>
          <w:u w:val="single"/>
        </w:rPr>
        <w:t xml:space="preserve">, počíná běžet lhůta </w:t>
      </w:r>
      <w:r w:rsidR="001F4CF0">
        <w:rPr>
          <w:rFonts w:ascii="Times New Roman" w:hAnsi="Times New Roman" w:cs="Times New Roman"/>
          <w:u w:val="single"/>
        </w:rPr>
        <w:t>1 měsíce pro rozhodnutí m</w:t>
      </w:r>
      <w:r w:rsidR="003F62E3" w:rsidRPr="003F62E3">
        <w:rPr>
          <w:rFonts w:ascii="Times New Roman" w:hAnsi="Times New Roman" w:cs="Times New Roman"/>
          <w:u w:val="single"/>
        </w:rPr>
        <w:t>inisterstv</w:t>
      </w:r>
      <w:r w:rsidR="001F4CF0">
        <w:rPr>
          <w:rFonts w:ascii="Times New Roman" w:hAnsi="Times New Roman" w:cs="Times New Roman"/>
          <w:u w:val="single"/>
        </w:rPr>
        <w:t>a</w:t>
      </w:r>
      <w:r w:rsidR="003F62E3" w:rsidRPr="003F62E3">
        <w:rPr>
          <w:rFonts w:ascii="Times New Roman" w:hAnsi="Times New Roman" w:cs="Times New Roman"/>
          <w:u w:val="single"/>
        </w:rPr>
        <w:t xml:space="preserve"> o žádosti. Ve zvlášť složitých případech lze lhůtu podle věty první prodloužit o 1 měsíc. Ministerstvo uzná projekt pro nulové čisté emise za strategický, jestliže jsou splněny podmínky podle čl. 13 nařízení Evropského parlamentu a Rady (EU) 2024/1735.</w:t>
      </w:r>
      <w:r w:rsidR="00432C36">
        <w:rPr>
          <w:rFonts w:ascii="Times New Roman" w:hAnsi="Times New Roman" w:cs="Times New Roman"/>
          <w:u w:val="single"/>
        </w:rPr>
        <w:t xml:space="preserve"> </w:t>
      </w:r>
      <w:r w:rsidR="003F62E3" w:rsidRPr="00432C36">
        <w:rPr>
          <w:rFonts w:ascii="Times New Roman" w:hAnsi="Times New Roman" w:cs="Times New Roman"/>
          <w:u w:val="single"/>
        </w:rPr>
        <w:t>Rozhodnutí o uznání projektu pro nulové čisté emise za strategický projekt pro nulové čisté emise musí obsahovat</w:t>
      </w:r>
    </w:p>
    <w:p w14:paraId="76E9EB48" w14:textId="4A35F6EF" w:rsidR="003F62E3" w:rsidRPr="00E444DB" w:rsidRDefault="003F62E3" w:rsidP="003373ED">
      <w:pPr>
        <w:pStyle w:val="Odstavecseseznamem"/>
        <w:numPr>
          <w:ilvl w:val="0"/>
          <w:numId w:val="15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444DB">
        <w:rPr>
          <w:rFonts w:ascii="Times New Roman" w:hAnsi="Times New Roman" w:cs="Times New Roman"/>
          <w:u w:val="single"/>
        </w:rPr>
        <w:t>název projektu,</w:t>
      </w:r>
    </w:p>
    <w:p w14:paraId="06F40E17" w14:textId="77777777" w:rsidR="003F62E3" w:rsidRPr="00E444DB" w:rsidRDefault="003F62E3" w:rsidP="003373ED">
      <w:pPr>
        <w:pStyle w:val="Odstavecseseznamem"/>
        <w:numPr>
          <w:ilvl w:val="0"/>
          <w:numId w:val="15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444DB">
        <w:rPr>
          <w:rFonts w:ascii="Times New Roman" w:hAnsi="Times New Roman" w:cs="Times New Roman"/>
          <w:u w:val="single"/>
        </w:rPr>
        <w:t>typ projektu,</w:t>
      </w:r>
    </w:p>
    <w:p w14:paraId="5BCD2F3E" w14:textId="77777777" w:rsidR="003F62E3" w:rsidRPr="00E444DB" w:rsidRDefault="003F62E3" w:rsidP="003373ED">
      <w:pPr>
        <w:pStyle w:val="Odstavecseseznamem"/>
        <w:numPr>
          <w:ilvl w:val="0"/>
          <w:numId w:val="15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444DB">
        <w:rPr>
          <w:rFonts w:ascii="Times New Roman" w:hAnsi="Times New Roman" w:cs="Times New Roman"/>
          <w:u w:val="single"/>
        </w:rPr>
        <w:t>použité výrobní technologické zaměření projektu dle čl. 4 odst. 1 nařízení Evropského parlamentu a Rady (EU) 2024/1735,</w:t>
      </w:r>
    </w:p>
    <w:p w14:paraId="699A41C6" w14:textId="77777777" w:rsidR="003F62E3" w:rsidRPr="00E444DB" w:rsidRDefault="003F62E3" w:rsidP="003373ED">
      <w:pPr>
        <w:pStyle w:val="Odstavecseseznamem"/>
        <w:numPr>
          <w:ilvl w:val="0"/>
          <w:numId w:val="15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444DB">
        <w:rPr>
          <w:rFonts w:ascii="Times New Roman" w:hAnsi="Times New Roman" w:cs="Times New Roman"/>
          <w:u w:val="single"/>
        </w:rPr>
        <w:t xml:space="preserve">místo realizace projektu, </w:t>
      </w:r>
    </w:p>
    <w:p w14:paraId="5DDA4A7B" w14:textId="77777777" w:rsidR="003F62E3" w:rsidRPr="00E444DB" w:rsidRDefault="003F62E3" w:rsidP="003373ED">
      <w:pPr>
        <w:pStyle w:val="Odstavecseseznamem"/>
        <w:numPr>
          <w:ilvl w:val="0"/>
          <w:numId w:val="15"/>
        </w:numPr>
        <w:tabs>
          <w:tab w:val="left" w:pos="567"/>
        </w:tabs>
        <w:spacing w:before="120" w:after="120" w:line="36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444DB">
        <w:rPr>
          <w:rFonts w:ascii="Times New Roman" w:hAnsi="Times New Roman" w:cs="Times New Roman"/>
          <w:u w:val="single"/>
        </w:rPr>
        <w:t>poučení, že rozhodnutí může ministerstvo zrušit, budou-li splněny podmínky podle čl. 14 odst. 7 nařízení Evropského parlamentu a Rady (EU) 2024/1735,</w:t>
      </w:r>
    </w:p>
    <w:p w14:paraId="696F7F74" w14:textId="4D2D6DC9" w:rsidR="00F62BDA" w:rsidRPr="00F62BDA" w:rsidRDefault="003F62E3" w:rsidP="00EF3B28">
      <w:pPr>
        <w:pStyle w:val="Odstavecseseznamem"/>
        <w:numPr>
          <w:ilvl w:val="0"/>
          <w:numId w:val="15"/>
        </w:numPr>
        <w:tabs>
          <w:tab w:val="left" w:pos="567"/>
        </w:tabs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u w:val="single"/>
        </w:rPr>
      </w:pPr>
      <w:r w:rsidRPr="00E444DB">
        <w:rPr>
          <w:rFonts w:ascii="Times New Roman" w:hAnsi="Times New Roman" w:cs="Times New Roman"/>
          <w:u w:val="single"/>
        </w:rPr>
        <w:t xml:space="preserve">u zahraniční osoby dále údaje týkající se odpovědného zástupce, byl-li ustanoven. </w:t>
      </w:r>
    </w:p>
    <w:p w14:paraId="2987849A" w14:textId="2CA9B9EB" w:rsidR="003F62E3" w:rsidRPr="007111FF" w:rsidRDefault="003F62E3" w:rsidP="00880F6F">
      <w:pPr>
        <w:pStyle w:val="Odstavecseseznamem"/>
        <w:numPr>
          <w:ilvl w:val="0"/>
          <w:numId w:val="14"/>
        </w:numPr>
        <w:tabs>
          <w:tab w:val="left" w:pos="1134"/>
        </w:tabs>
        <w:spacing w:before="120" w:after="120" w:line="360" w:lineRule="auto"/>
        <w:ind w:left="0" w:firstLine="567"/>
        <w:rPr>
          <w:rFonts w:ascii="Times New Roman" w:hAnsi="Times New Roman" w:cs="Times New Roman"/>
          <w:u w:val="single"/>
        </w:rPr>
      </w:pPr>
      <w:r w:rsidRPr="007111FF">
        <w:rPr>
          <w:rFonts w:ascii="Times New Roman" w:hAnsi="Times New Roman" w:cs="Times New Roman"/>
          <w:u w:val="single"/>
        </w:rPr>
        <w:t>Uznání Komise, že projekt</w:t>
      </w:r>
      <w:r w:rsidR="001F4CF0">
        <w:rPr>
          <w:rFonts w:ascii="Times New Roman" w:hAnsi="Times New Roman" w:cs="Times New Roman"/>
          <w:u w:val="single"/>
        </w:rPr>
        <w:t xml:space="preserve"> pro nulové čisté emise</w:t>
      </w:r>
      <w:r w:rsidRPr="007111FF">
        <w:rPr>
          <w:rFonts w:ascii="Times New Roman" w:hAnsi="Times New Roman" w:cs="Times New Roman"/>
          <w:u w:val="single"/>
        </w:rPr>
        <w:t xml:space="preserve">, který jí byl předložen k posouzení podle odstavec 4, je strategický, nenahrazuje zamítavé rozhodnutí ministerstva a nezakládá žadateli právo předložit tentýž projekt pro nulové čisté emise ministerstvu k rozhodnutí. </w:t>
      </w:r>
    </w:p>
    <w:p w14:paraId="4EF6DCEA" w14:textId="2A37410E" w:rsidR="003F62E3" w:rsidRDefault="003F62E3" w:rsidP="003D7453">
      <w:pPr>
        <w:tabs>
          <w:tab w:val="left" w:pos="1134"/>
        </w:tabs>
        <w:spacing w:before="120" w:after="120" w:line="36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3F62E3">
        <w:rPr>
          <w:rFonts w:ascii="Times New Roman" w:hAnsi="Times New Roman" w:cs="Times New Roman"/>
        </w:rPr>
        <w:t>(</w:t>
      </w:r>
      <w:r w:rsidR="005D2236">
        <w:rPr>
          <w:rFonts w:ascii="Times New Roman" w:hAnsi="Times New Roman" w:cs="Times New Roman"/>
        </w:rPr>
        <w:t>6</w:t>
      </w:r>
      <w:r w:rsidRPr="003F62E3">
        <w:rPr>
          <w:rFonts w:ascii="Times New Roman" w:hAnsi="Times New Roman" w:cs="Times New Roman"/>
        </w:rPr>
        <w:t>)</w:t>
      </w:r>
      <w:r w:rsidRPr="003F62E3">
        <w:rPr>
          <w:rFonts w:ascii="Times New Roman" w:hAnsi="Times New Roman" w:cs="Times New Roman"/>
        </w:rPr>
        <w:tab/>
      </w:r>
      <w:r w:rsidRPr="00F62BDA">
        <w:rPr>
          <w:rFonts w:ascii="Times New Roman" w:hAnsi="Times New Roman" w:cs="Times New Roman"/>
          <w:u w:val="single"/>
        </w:rPr>
        <w:t>Ministerstvo může své rozhodnutí o uznání projektu pro nulové čisté emise za strategický zrušit, a to za podmínky uvedené v čl. 14 odst. 7 nařízení Evropského parlamentu a Rady (EU) 2024/1735.</w:t>
      </w:r>
    </w:p>
    <w:p w14:paraId="34D859C3" w14:textId="24C78CA1" w:rsidR="003D318D" w:rsidRPr="00E0001D" w:rsidRDefault="005D2236" w:rsidP="003D7453">
      <w:pPr>
        <w:tabs>
          <w:tab w:val="left" w:pos="1134"/>
        </w:tabs>
        <w:spacing w:before="120" w:after="120" w:line="36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A02AE5">
        <w:rPr>
          <w:rFonts w:ascii="Times New Roman" w:hAnsi="Times New Roman" w:cs="Times New Roman"/>
        </w:rPr>
        <w:t xml:space="preserve">(7) </w:t>
      </w:r>
      <w:r w:rsidR="000C6628" w:rsidRPr="00E0001D">
        <w:rPr>
          <w:rFonts w:ascii="Times New Roman" w:hAnsi="Times New Roman" w:cs="Times New Roman"/>
          <w:u w:val="single"/>
        </w:rPr>
        <w:t xml:space="preserve">Nerozhodne-li ministerstvo o žádosti do 1 měsíce </w:t>
      </w:r>
      <w:r w:rsidRPr="00E0001D">
        <w:rPr>
          <w:rFonts w:ascii="Times New Roman" w:hAnsi="Times New Roman" w:cs="Times New Roman"/>
          <w:u w:val="single"/>
        </w:rPr>
        <w:t>od</w:t>
      </w:r>
      <w:r w:rsidR="00D36F2D">
        <w:rPr>
          <w:rFonts w:ascii="Times New Roman" w:hAnsi="Times New Roman" w:cs="Times New Roman"/>
          <w:u w:val="single"/>
        </w:rPr>
        <w:t>e dne oznámení o úplnosti žádosti podle odstavce 2</w:t>
      </w:r>
      <w:r w:rsidRPr="00E0001D">
        <w:rPr>
          <w:rFonts w:ascii="Times New Roman" w:hAnsi="Times New Roman" w:cs="Times New Roman"/>
          <w:u w:val="single"/>
        </w:rPr>
        <w:t xml:space="preserve"> </w:t>
      </w:r>
      <w:r w:rsidR="000C6628" w:rsidRPr="00E0001D">
        <w:rPr>
          <w:rFonts w:ascii="Times New Roman" w:hAnsi="Times New Roman" w:cs="Times New Roman"/>
          <w:u w:val="single"/>
        </w:rPr>
        <w:t xml:space="preserve">nebo nejedná-li se zvlášť složitý případ podle </w:t>
      </w:r>
      <w:r w:rsidR="000C6628" w:rsidRPr="003D7453">
        <w:rPr>
          <w:rFonts w:ascii="Times New Roman" w:hAnsi="Times New Roman" w:cs="Times New Roman"/>
          <w:u w:val="single"/>
        </w:rPr>
        <w:t xml:space="preserve">odstavce </w:t>
      </w:r>
      <w:r w:rsidR="00D36F2D" w:rsidRPr="003D7453">
        <w:rPr>
          <w:rFonts w:ascii="Times New Roman" w:hAnsi="Times New Roman" w:cs="Times New Roman"/>
          <w:u w:val="single"/>
        </w:rPr>
        <w:t>4</w:t>
      </w:r>
      <w:r w:rsidR="000C6628" w:rsidRPr="003D7453">
        <w:rPr>
          <w:rFonts w:ascii="Times New Roman" w:hAnsi="Times New Roman" w:cs="Times New Roman"/>
          <w:u w:val="single"/>
        </w:rPr>
        <w:t>,</w:t>
      </w:r>
      <w:r w:rsidR="000C6628" w:rsidRPr="00E0001D">
        <w:rPr>
          <w:rFonts w:ascii="Times New Roman" w:hAnsi="Times New Roman" w:cs="Times New Roman"/>
          <w:u w:val="single"/>
        </w:rPr>
        <w:t xml:space="preserve"> vzniká žadateli o uznání projektu pro nulové čisté emise za strategický projekt právo na poskytnutí nové lhůty ministerstvem, která nesmí být delší než 30 dnů, od uplynutí původní lhůty.  </w:t>
      </w:r>
    </w:p>
    <w:p w14:paraId="21643405" w14:textId="166ACE76" w:rsidR="005A2E28" w:rsidRPr="007111FF" w:rsidRDefault="003F62E3" w:rsidP="003C598B">
      <w:pPr>
        <w:tabs>
          <w:tab w:val="left" w:pos="1134"/>
        </w:tabs>
        <w:spacing w:before="120" w:after="120" w:line="360" w:lineRule="auto"/>
        <w:ind w:firstLine="567"/>
        <w:contextualSpacing/>
        <w:jc w:val="both"/>
        <w:rPr>
          <w:rFonts w:ascii="Times New Roman" w:hAnsi="Times New Roman" w:cs="Times New Roman"/>
          <w:color w:val="auto"/>
        </w:rPr>
      </w:pPr>
      <w:r w:rsidRPr="007111FF">
        <w:rPr>
          <w:rFonts w:ascii="Times New Roman" w:hAnsi="Times New Roman" w:cs="Times New Roman"/>
          <w:color w:val="auto"/>
        </w:rPr>
        <w:t>(</w:t>
      </w:r>
      <w:r w:rsidR="005D2236">
        <w:rPr>
          <w:rFonts w:ascii="Times New Roman" w:hAnsi="Times New Roman" w:cs="Times New Roman"/>
          <w:color w:val="auto"/>
        </w:rPr>
        <w:t>8</w:t>
      </w:r>
      <w:r w:rsidRPr="007111FF">
        <w:rPr>
          <w:rFonts w:ascii="Times New Roman" w:hAnsi="Times New Roman" w:cs="Times New Roman"/>
          <w:color w:val="auto"/>
        </w:rPr>
        <w:t xml:space="preserve">) </w:t>
      </w:r>
      <w:r w:rsidR="00F62BDA" w:rsidRPr="007111FF">
        <w:rPr>
          <w:rFonts w:ascii="Times New Roman" w:hAnsi="Times New Roman" w:cs="Times New Roman"/>
          <w:color w:val="auto"/>
        </w:rPr>
        <w:tab/>
      </w:r>
      <w:r w:rsidR="005A2E28" w:rsidRPr="007111FF">
        <w:rPr>
          <w:rFonts w:ascii="Times New Roman" w:hAnsi="Times New Roman" w:cs="Times New Roman"/>
          <w:color w:val="auto"/>
          <w:u w:val="single"/>
        </w:rPr>
        <w:t>Ministerstvo vede evidenci uznaných nebo neuznaných strategických projekt</w:t>
      </w:r>
      <w:r w:rsidR="00432C36" w:rsidRPr="007111FF">
        <w:rPr>
          <w:rFonts w:ascii="Times New Roman" w:hAnsi="Times New Roman" w:cs="Times New Roman"/>
          <w:color w:val="auto"/>
          <w:u w:val="single"/>
        </w:rPr>
        <w:t>ů</w:t>
      </w:r>
      <w:r w:rsidR="005A2E28" w:rsidRPr="007111FF">
        <w:rPr>
          <w:rFonts w:ascii="Times New Roman" w:hAnsi="Times New Roman" w:cs="Times New Roman"/>
          <w:color w:val="auto"/>
          <w:u w:val="single"/>
        </w:rPr>
        <w:t xml:space="preserve"> pro nulové čisté emise.</w:t>
      </w:r>
    </w:p>
    <w:p w14:paraId="6F85D618" w14:textId="1A7F53C5" w:rsidR="003F62E3" w:rsidRPr="009F2E50" w:rsidRDefault="005A2E28" w:rsidP="003C598B">
      <w:pPr>
        <w:tabs>
          <w:tab w:val="left" w:pos="1134"/>
        </w:tabs>
        <w:spacing w:before="120" w:after="120" w:line="360" w:lineRule="auto"/>
        <w:ind w:firstLine="567"/>
        <w:contextualSpacing/>
        <w:jc w:val="both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</w:rPr>
        <w:t>(</w:t>
      </w:r>
      <w:r w:rsidR="005D2236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 w:rsidR="003F62E3" w:rsidRPr="00F62BDA">
        <w:rPr>
          <w:rFonts w:ascii="Times New Roman" w:hAnsi="Times New Roman" w:cs="Times New Roman"/>
          <w:u w:val="single"/>
        </w:rPr>
        <w:t xml:space="preserve">Ministerstvo plní oznamovací povinnost </w:t>
      </w:r>
      <w:r w:rsidR="00432C36">
        <w:rPr>
          <w:rFonts w:ascii="Times New Roman" w:hAnsi="Times New Roman" w:cs="Times New Roman"/>
          <w:u w:val="single"/>
        </w:rPr>
        <w:t xml:space="preserve">podle čl. 14 odst. 3 </w:t>
      </w:r>
      <w:r w:rsidR="00432C36" w:rsidRPr="00432C36">
        <w:rPr>
          <w:rFonts w:ascii="Times New Roman" w:hAnsi="Times New Roman" w:cs="Times New Roman"/>
          <w:u w:val="single"/>
        </w:rPr>
        <w:t>nařízení Evropského parlamentu a Rady (EU) 2024/1735</w:t>
      </w:r>
      <w:r w:rsidR="00432C36">
        <w:rPr>
          <w:rFonts w:ascii="Times New Roman" w:hAnsi="Times New Roman" w:cs="Times New Roman"/>
          <w:u w:val="single"/>
        </w:rPr>
        <w:t xml:space="preserve"> </w:t>
      </w:r>
      <w:r w:rsidR="003F62E3" w:rsidRPr="00F62BDA">
        <w:rPr>
          <w:rFonts w:ascii="Times New Roman" w:hAnsi="Times New Roman" w:cs="Times New Roman"/>
          <w:u w:val="single"/>
        </w:rPr>
        <w:t>o uznaných</w:t>
      </w:r>
      <w:r w:rsidR="003E6590" w:rsidRPr="007111FF">
        <w:rPr>
          <w:rFonts w:ascii="Times New Roman" w:hAnsi="Times New Roman" w:cs="Times New Roman"/>
          <w:color w:val="auto"/>
          <w:u w:val="single"/>
        </w:rPr>
        <w:t xml:space="preserve"> </w:t>
      </w:r>
      <w:r w:rsidR="007111FF" w:rsidRPr="007111FF">
        <w:rPr>
          <w:rFonts w:ascii="Times New Roman" w:hAnsi="Times New Roman" w:cs="Times New Roman"/>
          <w:color w:val="auto"/>
          <w:u w:val="single"/>
        </w:rPr>
        <w:t>a</w:t>
      </w:r>
      <w:r w:rsidR="003E6590" w:rsidRPr="007111FF">
        <w:rPr>
          <w:rFonts w:ascii="Times New Roman" w:hAnsi="Times New Roman" w:cs="Times New Roman"/>
          <w:color w:val="auto"/>
          <w:u w:val="single"/>
        </w:rPr>
        <w:t xml:space="preserve"> neuznaných</w:t>
      </w:r>
      <w:r w:rsidR="003F62E3" w:rsidRPr="007111FF">
        <w:rPr>
          <w:rFonts w:ascii="Times New Roman" w:hAnsi="Times New Roman" w:cs="Times New Roman"/>
          <w:color w:val="auto"/>
          <w:u w:val="single"/>
        </w:rPr>
        <w:t xml:space="preserve"> strategických projektech pro nulové čisté emise vůči </w:t>
      </w:r>
      <w:r w:rsidR="00432C36" w:rsidRPr="007111FF">
        <w:rPr>
          <w:rFonts w:ascii="Times New Roman" w:hAnsi="Times New Roman" w:cs="Times New Roman"/>
          <w:color w:val="auto"/>
          <w:u w:val="single"/>
        </w:rPr>
        <w:t>Platformě pro nulové čisté emise v Evropě podle čl. 38 a 39 nařízení Evropského parlamentu a Rady (EU) 2024/1735</w:t>
      </w:r>
      <w:r w:rsidR="003E6590" w:rsidRPr="007111FF">
        <w:rPr>
          <w:rFonts w:ascii="Times New Roman" w:hAnsi="Times New Roman" w:cs="Times New Roman"/>
          <w:color w:val="auto"/>
        </w:rPr>
        <w:t xml:space="preserve"> </w:t>
      </w:r>
      <w:r w:rsidR="003E6590" w:rsidRPr="009F2E50">
        <w:rPr>
          <w:rFonts w:ascii="Times New Roman" w:hAnsi="Times New Roman" w:cs="Times New Roman"/>
          <w:color w:val="auto"/>
          <w:u w:val="single"/>
        </w:rPr>
        <w:t>a informace o uznaných strategických projektech</w:t>
      </w:r>
      <w:r w:rsidR="001F4CF0">
        <w:rPr>
          <w:rFonts w:ascii="Times New Roman" w:hAnsi="Times New Roman" w:cs="Times New Roman"/>
          <w:color w:val="auto"/>
          <w:u w:val="single"/>
        </w:rPr>
        <w:t xml:space="preserve"> pro nulové čisté emise</w:t>
      </w:r>
      <w:r w:rsidR="003E6590" w:rsidRPr="009F2E50">
        <w:rPr>
          <w:rFonts w:ascii="Times New Roman" w:hAnsi="Times New Roman" w:cs="Times New Roman"/>
          <w:color w:val="auto"/>
          <w:u w:val="single"/>
        </w:rPr>
        <w:t xml:space="preserve"> poskytuje místně příslušnému krajskému úřadu nebo Dopravnímu a energetickému stavebnímu úřadu</w:t>
      </w:r>
      <w:r w:rsidR="003F62E3" w:rsidRPr="009F2E50">
        <w:rPr>
          <w:rFonts w:ascii="Times New Roman" w:hAnsi="Times New Roman" w:cs="Times New Roman"/>
          <w:color w:val="auto"/>
          <w:u w:val="single"/>
        </w:rPr>
        <w:t>.</w:t>
      </w:r>
    </w:p>
    <w:p w14:paraId="29676EA1" w14:textId="20A3E037" w:rsidR="00EF3B28" w:rsidRDefault="00EF3B28" w:rsidP="00EF3B28">
      <w:pPr>
        <w:spacing w:before="120" w:after="120" w:line="360" w:lineRule="auto"/>
        <w:rPr>
          <w:rFonts w:ascii="Times New Roman" w:hAnsi="Times New Roman" w:cs="Times New Roman"/>
          <w:i/>
          <w:iCs/>
        </w:rPr>
      </w:pPr>
      <w:r w:rsidRPr="00EF3B28">
        <w:rPr>
          <w:rFonts w:ascii="Times New Roman" w:hAnsi="Times New Roman" w:cs="Times New Roman"/>
          <w:i/>
          <w:iCs/>
        </w:rPr>
        <w:t>CELEX 32024R1735</w:t>
      </w:r>
    </w:p>
    <w:p w14:paraId="3882ACBD" w14:textId="04C45968" w:rsidR="009C712C" w:rsidRDefault="009C712C" w:rsidP="00EF3B28">
      <w:pPr>
        <w:spacing w:before="120" w:after="120"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§ </w:t>
      </w:r>
      <w:r w:rsidR="006D56ED">
        <w:rPr>
          <w:rFonts w:ascii="Times New Roman" w:hAnsi="Times New Roman" w:cs="Times New Roman"/>
          <w:color w:val="auto"/>
        </w:rPr>
        <w:t>5</w:t>
      </w:r>
    </w:p>
    <w:p w14:paraId="431AE94F" w14:textId="77777777" w:rsidR="007111FF" w:rsidRPr="007111FF" w:rsidRDefault="009C712C" w:rsidP="007111FF">
      <w:pPr>
        <w:pStyle w:val="Odstavecseseznamem"/>
        <w:numPr>
          <w:ilvl w:val="0"/>
          <w:numId w:val="28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auto"/>
          <w:u w:val="single"/>
        </w:rPr>
      </w:pPr>
      <w:r w:rsidRPr="007111FF">
        <w:rPr>
          <w:rFonts w:ascii="Times New Roman" w:hAnsi="Times New Roman" w:cs="Times New Roman"/>
          <w:color w:val="auto"/>
          <w:u w:val="single"/>
        </w:rPr>
        <w:t>Veřejný zadavatel</w:t>
      </w:r>
      <w:r w:rsidRPr="009C712C">
        <w:rPr>
          <w:rStyle w:val="Znakapoznpodarou"/>
          <w:rFonts w:ascii="Times New Roman" w:hAnsi="Times New Roman" w:cs="Times New Roman"/>
          <w:color w:val="auto"/>
          <w:u w:val="single"/>
        </w:rPr>
        <w:footnoteReference w:id="3"/>
      </w:r>
      <w:r w:rsidRPr="007111FF">
        <w:rPr>
          <w:rFonts w:ascii="Times New Roman" w:hAnsi="Times New Roman" w:cs="Times New Roman"/>
          <w:color w:val="auto"/>
          <w:u w:val="single"/>
          <w:vertAlign w:val="superscript"/>
        </w:rPr>
        <w:t>)</w:t>
      </w:r>
      <w:r w:rsidRPr="007111FF">
        <w:rPr>
          <w:rFonts w:ascii="Times New Roman" w:hAnsi="Times New Roman" w:cs="Times New Roman"/>
          <w:color w:val="auto"/>
          <w:u w:val="single"/>
        </w:rPr>
        <w:t xml:space="preserve"> se řídí při zadávání veřejné zakázky čl. 25</w:t>
      </w:r>
      <w:r w:rsidR="007416A7" w:rsidRPr="007111FF">
        <w:rPr>
          <w:rFonts w:ascii="Times New Roman" w:hAnsi="Times New Roman" w:cs="Times New Roman"/>
          <w:color w:val="auto"/>
          <w:u w:val="single"/>
        </w:rPr>
        <w:t>,</w:t>
      </w:r>
      <w:r w:rsidRPr="007111FF">
        <w:rPr>
          <w:rFonts w:ascii="Times New Roman" w:hAnsi="Times New Roman" w:cs="Times New Roman"/>
          <w:color w:val="auto"/>
          <w:u w:val="single"/>
        </w:rPr>
        <w:t xml:space="preserve"> </w:t>
      </w:r>
      <w:r w:rsidR="007111FF" w:rsidRPr="007111FF">
        <w:rPr>
          <w:rFonts w:ascii="Times New Roman" w:hAnsi="Times New Roman" w:cs="Times New Roman"/>
          <w:color w:val="auto"/>
          <w:u w:val="single"/>
        </w:rPr>
        <w:t xml:space="preserve">čl. </w:t>
      </w:r>
      <w:r w:rsidRPr="007111FF">
        <w:rPr>
          <w:rFonts w:ascii="Times New Roman" w:hAnsi="Times New Roman" w:cs="Times New Roman"/>
          <w:color w:val="auto"/>
          <w:u w:val="single"/>
        </w:rPr>
        <w:t>27</w:t>
      </w:r>
      <w:r w:rsidR="007416A7" w:rsidRPr="007111FF">
        <w:rPr>
          <w:rFonts w:ascii="Times New Roman" w:hAnsi="Times New Roman" w:cs="Times New Roman"/>
          <w:color w:val="auto"/>
          <w:u w:val="single"/>
        </w:rPr>
        <w:t xml:space="preserve"> a </w:t>
      </w:r>
      <w:r w:rsidR="00036873" w:rsidRPr="007111FF">
        <w:rPr>
          <w:rFonts w:ascii="Times New Roman" w:hAnsi="Times New Roman" w:cs="Times New Roman"/>
          <w:color w:val="auto"/>
          <w:u w:val="single"/>
        </w:rPr>
        <w:t xml:space="preserve">čl. </w:t>
      </w:r>
      <w:r w:rsidR="007416A7" w:rsidRPr="007111FF">
        <w:rPr>
          <w:rFonts w:ascii="Times New Roman" w:hAnsi="Times New Roman" w:cs="Times New Roman"/>
          <w:color w:val="auto"/>
          <w:u w:val="single"/>
        </w:rPr>
        <w:t>49 odst. 3</w:t>
      </w:r>
      <w:r w:rsidRPr="007111FF">
        <w:rPr>
          <w:rFonts w:ascii="Times New Roman" w:hAnsi="Times New Roman" w:cs="Times New Roman"/>
          <w:color w:val="auto"/>
          <w:u w:val="single"/>
        </w:rPr>
        <w:t xml:space="preserve"> </w:t>
      </w:r>
      <w:bookmarkStart w:id="5" w:name="_Hlk188432408"/>
      <w:r w:rsidRPr="007111FF">
        <w:rPr>
          <w:rFonts w:ascii="Times New Roman" w:hAnsi="Times New Roman" w:cs="Times New Roman"/>
          <w:color w:val="auto"/>
          <w:u w:val="single"/>
        </w:rPr>
        <w:t>nařízení Evropského parlamentu a Rady (EU) 2024/1735</w:t>
      </w:r>
      <w:bookmarkEnd w:id="5"/>
      <w:r w:rsidRPr="007111FF">
        <w:rPr>
          <w:rFonts w:ascii="Times New Roman" w:hAnsi="Times New Roman" w:cs="Times New Roman"/>
          <w:color w:val="auto"/>
          <w:u w:val="single"/>
        </w:rPr>
        <w:t>. Ustanovení zákona o zadávání veřejných zakázek nejsou dotčena.</w:t>
      </w:r>
      <w:r w:rsidR="00F3099D" w:rsidRPr="007111FF">
        <w:rPr>
          <w:rFonts w:ascii="Times New Roman" w:hAnsi="Times New Roman" w:cs="Times New Roman"/>
          <w:color w:val="auto"/>
          <w:u w:val="single"/>
        </w:rPr>
        <w:t xml:space="preserve"> </w:t>
      </w:r>
    </w:p>
    <w:p w14:paraId="556F587F" w14:textId="6C02442A" w:rsidR="009C712C" w:rsidRPr="007111FF" w:rsidRDefault="00F3099D" w:rsidP="007111FF">
      <w:pPr>
        <w:pStyle w:val="Odstavecseseznamem"/>
        <w:numPr>
          <w:ilvl w:val="0"/>
          <w:numId w:val="28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auto"/>
          <w:u w:val="single"/>
        </w:rPr>
      </w:pPr>
      <w:r w:rsidRPr="007111FF">
        <w:rPr>
          <w:rFonts w:ascii="Times New Roman" w:hAnsi="Times New Roman" w:cs="Times New Roman"/>
          <w:color w:val="auto"/>
          <w:u w:val="single"/>
        </w:rPr>
        <w:t>Veřejný zadavatel</w:t>
      </w:r>
      <w:r w:rsidR="007111FF" w:rsidRPr="007111FF">
        <w:rPr>
          <w:rFonts w:ascii="Times New Roman" w:hAnsi="Times New Roman" w:cs="Times New Roman"/>
          <w:color w:val="auto"/>
          <w:u w:val="single"/>
          <w:vertAlign w:val="superscript"/>
        </w:rPr>
        <w:t>3)</w:t>
      </w:r>
      <w:r w:rsidRPr="007111FF">
        <w:rPr>
          <w:rFonts w:ascii="Times New Roman" w:hAnsi="Times New Roman" w:cs="Times New Roman"/>
          <w:color w:val="auto"/>
          <w:u w:val="single"/>
          <w:vertAlign w:val="superscript"/>
        </w:rPr>
        <w:t xml:space="preserve"> </w:t>
      </w:r>
      <w:r w:rsidRPr="007111FF">
        <w:rPr>
          <w:rFonts w:ascii="Times New Roman" w:hAnsi="Times New Roman" w:cs="Times New Roman"/>
          <w:color w:val="auto"/>
          <w:u w:val="single"/>
        </w:rPr>
        <w:t xml:space="preserve">může za podmínek stanovených </w:t>
      </w:r>
      <w:r w:rsidR="007111FF" w:rsidRPr="007111FF">
        <w:rPr>
          <w:rFonts w:ascii="Times New Roman" w:hAnsi="Times New Roman" w:cs="Times New Roman"/>
          <w:color w:val="auto"/>
          <w:u w:val="single"/>
        </w:rPr>
        <w:t xml:space="preserve">v </w:t>
      </w:r>
      <w:r w:rsidRPr="007111FF">
        <w:rPr>
          <w:rFonts w:ascii="Times New Roman" w:hAnsi="Times New Roman" w:cs="Times New Roman"/>
          <w:color w:val="auto"/>
          <w:u w:val="single"/>
        </w:rPr>
        <w:t>čl. 28 nařízení Evropského parlamentu a Rady (EU) 2024/1735 poskytnout dodatečnou finanční podporu</w:t>
      </w:r>
      <w:r w:rsidR="00D83734" w:rsidRPr="007111FF">
        <w:rPr>
          <w:rFonts w:ascii="Times New Roman" w:hAnsi="Times New Roman" w:cs="Times New Roman"/>
          <w:color w:val="auto"/>
          <w:u w:val="single"/>
        </w:rPr>
        <w:t>.</w:t>
      </w:r>
    </w:p>
    <w:p w14:paraId="1207682E" w14:textId="40333BE1" w:rsidR="009C712C" w:rsidRPr="009C712C" w:rsidRDefault="009C712C" w:rsidP="009C712C">
      <w:pPr>
        <w:spacing w:before="120" w:after="120" w:line="360" w:lineRule="auto"/>
        <w:rPr>
          <w:rFonts w:ascii="Times New Roman" w:hAnsi="Times New Roman" w:cs="Times New Roman"/>
          <w:i/>
          <w:iCs/>
          <w:color w:val="auto"/>
        </w:rPr>
      </w:pPr>
      <w:r w:rsidRPr="009C712C">
        <w:rPr>
          <w:rFonts w:ascii="Times New Roman" w:hAnsi="Times New Roman" w:cs="Times New Roman"/>
          <w:i/>
          <w:iCs/>
          <w:color w:val="auto"/>
        </w:rPr>
        <w:t>CELEX 32024R1735</w:t>
      </w:r>
    </w:p>
    <w:p w14:paraId="79EDBC60" w14:textId="7BA69CC1" w:rsidR="00EF3B28" w:rsidRPr="001312D1" w:rsidRDefault="00EF3B28" w:rsidP="00EF3B28">
      <w:pPr>
        <w:spacing w:before="120" w:after="120" w:line="360" w:lineRule="auto"/>
        <w:jc w:val="center"/>
        <w:rPr>
          <w:rFonts w:ascii="Times New Roman" w:hAnsi="Times New Roman" w:cs="Times New Roman"/>
          <w:color w:val="auto"/>
        </w:rPr>
      </w:pPr>
      <w:r w:rsidRPr="001312D1">
        <w:rPr>
          <w:rFonts w:ascii="Times New Roman" w:hAnsi="Times New Roman" w:cs="Times New Roman"/>
          <w:color w:val="auto"/>
        </w:rPr>
        <w:t xml:space="preserve">§ </w:t>
      </w:r>
      <w:r w:rsidR="006D56ED">
        <w:rPr>
          <w:rFonts w:ascii="Times New Roman" w:hAnsi="Times New Roman" w:cs="Times New Roman"/>
          <w:color w:val="auto"/>
        </w:rPr>
        <w:t>6</w:t>
      </w:r>
    </w:p>
    <w:p w14:paraId="4282E080" w14:textId="66B50C25" w:rsidR="00F23FCB" w:rsidRDefault="00405EBE" w:rsidP="00F23FCB">
      <w:pPr>
        <w:pStyle w:val="Odstavecseseznamem"/>
        <w:numPr>
          <w:ilvl w:val="0"/>
          <w:numId w:val="24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auto"/>
          <w:u w:val="single"/>
        </w:rPr>
      </w:pPr>
      <w:r w:rsidRPr="009A2C9C">
        <w:rPr>
          <w:rFonts w:ascii="Times New Roman" w:hAnsi="Times New Roman" w:cs="Times New Roman"/>
          <w:color w:val="auto"/>
          <w:u w:val="single"/>
        </w:rPr>
        <w:t xml:space="preserve">Ministerstvo životního </w:t>
      </w:r>
      <w:r w:rsidR="00F23FCB">
        <w:rPr>
          <w:rFonts w:ascii="Times New Roman" w:hAnsi="Times New Roman" w:cs="Times New Roman"/>
          <w:color w:val="auto"/>
          <w:u w:val="single"/>
        </w:rPr>
        <w:t xml:space="preserve">prostředí poskytuje informace </w:t>
      </w:r>
      <w:r w:rsidR="00F23FCB" w:rsidRPr="009A2C9C">
        <w:rPr>
          <w:rFonts w:ascii="Times New Roman" w:hAnsi="Times New Roman" w:cs="Times New Roman"/>
          <w:color w:val="auto"/>
          <w:u w:val="single"/>
        </w:rPr>
        <w:t xml:space="preserve">v rozsahu a v termínech </w:t>
      </w:r>
      <w:r w:rsidR="00F23FCB">
        <w:rPr>
          <w:rFonts w:ascii="Times New Roman" w:hAnsi="Times New Roman" w:cs="Times New Roman"/>
          <w:color w:val="auto"/>
          <w:u w:val="single"/>
        </w:rPr>
        <w:t>podle čl. 21 odst. 1</w:t>
      </w:r>
      <w:r w:rsidR="00F23FCB" w:rsidRPr="00F23FCB">
        <w:rPr>
          <w:rFonts w:ascii="Times New Roman" w:hAnsi="Times New Roman" w:cs="Times New Roman"/>
          <w:color w:val="auto"/>
          <w:u w:val="single"/>
        </w:rPr>
        <w:t xml:space="preserve"> </w:t>
      </w:r>
      <w:bookmarkStart w:id="6" w:name="_Hlk188278269"/>
      <w:r w:rsidR="00F23FCB" w:rsidRPr="009A2C9C">
        <w:rPr>
          <w:rFonts w:ascii="Times New Roman" w:hAnsi="Times New Roman" w:cs="Times New Roman"/>
          <w:color w:val="auto"/>
          <w:u w:val="single"/>
        </w:rPr>
        <w:t>nařízení Evropského parlamentu a Rady (EU) 2024/1735</w:t>
      </w:r>
      <w:bookmarkEnd w:id="6"/>
      <w:r w:rsidR="00F23FCB">
        <w:rPr>
          <w:rFonts w:ascii="Times New Roman" w:hAnsi="Times New Roman" w:cs="Times New Roman"/>
          <w:color w:val="auto"/>
          <w:u w:val="single"/>
        </w:rPr>
        <w:t>.</w:t>
      </w:r>
    </w:p>
    <w:p w14:paraId="4DF124FD" w14:textId="3724EB28" w:rsidR="00F23FCB" w:rsidRDefault="00F23FCB" w:rsidP="00E90280">
      <w:pPr>
        <w:pStyle w:val="Odstavecseseznamem"/>
        <w:numPr>
          <w:ilvl w:val="0"/>
          <w:numId w:val="24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auto"/>
          <w:u w:val="single"/>
        </w:rPr>
      </w:pPr>
      <w:r w:rsidRPr="00F23FCB">
        <w:rPr>
          <w:rFonts w:ascii="Times New Roman" w:hAnsi="Times New Roman" w:cs="Times New Roman"/>
          <w:color w:val="auto"/>
          <w:u w:val="single"/>
        </w:rPr>
        <w:t xml:space="preserve">Ministerstvo životního prostředí provádí mapování probíhajících projektů zachycování </w:t>
      </w:r>
      <w:r w:rsidRPr="009A2C9C">
        <w:rPr>
          <w:rFonts w:ascii="Times New Roman" w:hAnsi="Times New Roman" w:cs="Times New Roman"/>
          <w:color w:val="auto"/>
          <w:u w:val="single"/>
        </w:rPr>
        <w:t>oxidu uhličitého</w:t>
      </w:r>
      <w:r>
        <w:rPr>
          <w:rFonts w:ascii="Times New Roman" w:hAnsi="Times New Roman" w:cs="Times New Roman"/>
          <w:color w:val="auto"/>
          <w:u w:val="single"/>
        </w:rPr>
        <w:t xml:space="preserve">, </w:t>
      </w:r>
      <w:r w:rsidRPr="00F23FCB">
        <w:rPr>
          <w:rFonts w:ascii="Times New Roman" w:hAnsi="Times New Roman" w:cs="Times New Roman"/>
          <w:color w:val="auto"/>
          <w:u w:val="single"/>
        </w:rPr>
        <w:t>mapování probíhajících projektů v oblasti ukládání a přepravy oxidu uhličitého</w:t>
      </w:r>
      <w:r>
        <w:rPr>
          <w:rFonts w:ascii="Times New Roman" w:hAnsi="Times New Roman" w:cs="Times New Roman"/>
          <w:color w:val="auto"/>
          <w:u w:val="single"/>
        </w:rPr>
        <w:t xml:space="preserve">, podporuje </w:t>
      </w:r>
      <w:r w:rsidRPr="00F23FCB">
        <w:rPr>
          <w:rFonts w:ascii="Times New Roman" w:hAnsi="Times New Roman" w:cs="Times New Roman"/>
          <w:color w:val="auto"/>
          <w:u w:val="single"/>
        </w:rPr>
        <w:t>urychlení projektů</w:t>
      </w:r>
      <w:r>
        <w:rPr>
          <w:rFonts w:ascii="Times New Roman" w:hAnsi="Times New Roman" w:cs="Times New Roman"/>
          <w:color w:val="auto"/>
          <w:u w:val="single"/>
        </w:rPr>
        <w:t xml:space="preserve"> </w:t>
      </w:r>
      <w:r w:rsidRPr="00F23FCB">
        <w:rPr>
          <w:rFonts w:ascii="Times New Roman" w:hAnsi="Times New Roman" w:cs="Times New Roman"/>
          <w:color w:val="auto"/>
          <w:u w:val="single"/>
        </w:rPr>
        <w:t xml:space="preserve">zachycování oxidu uhličitého, </w:t>
      </w:r>
      <w:r>
        <w:rPr>
          <w:rFonts w:ascii="Times New Roman" w:hAnsi="Times New Roman" w:cs="Times New Roman"/>
          <w:color w:val="auto"/>
          <w:u w:val="single"/>
        </w:rPr>
        <w:t>jeho</w:t>
      </w:r>
      <w:r w:rsidRPr="00F23FCB">
        <w:rPr>
          <w:rFonts w:ascii="Times New Roman" w:hAnsi="Times New Roman" w:cs="Times New Roman"/>
          <w:color w:val="auto"/>
          <w:u w:val="single"/>
        </w:rPr>
        <w:t xml:space="preserve"> ukládání a přepravy</w:t>
      </w:r>
      <w:r>
        <w:rPr>
          <w:rFonts w:ascii="Times New Roman" w:hAnsi="Times New Roman" w:cs="Times New Roman"/>
          <w:color w:val="auto"/>
          <w:u w:val="single"/>
        </w:rPr>
        <w:t>.</w:t>
      </w:r>
      <w:r w:rsidRPr="00F23FCB">
        <w:rPr>
          <w:rFonts w:ascii="Times New Roman" w:hAnsi="Times New Roman" w:cs="Times New Roman"/>
          <w:color w:val="auto"/>
          <w:u w:val="single"/>
        </w:rPr>
        <w:t xml:space="preserve"> </w:t>
      </w:r>
    </w:p>
    <w:p w14:paraId="13D88907" w14:textId="3131BD80" w:rsidR="00F23FCB" w:rsidRDefault="00F23FCB" w:rsidP="00E90280">
      <w:pPr>
        <w:pStyle w:val="Odstavecseseznamem"/>
        <w:numPr>
          <w:ilvl w:val="0"/>
          <w:numId w:val="24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auto"/>
          <w:u w:val="single"/>
        </w:rPr>
      </w:pPr>
      <w:r w:rsidRPr="00F23FCB">
        <w:rPr>
          <w:rFonts w:ascii="Times New Roman" w:hAnsi="Times New Roman" w:cs="Times New Roman"/>
          <w:color w:val="auto"/>
          <w:u w:val="single"/>
        </w:rPr>
        <w:t xml:space="preserve">Ministerstvo životního prostředí </w:t>
      </w:r>
      <w:r>
        <w:rPr>
          <w:rFonts w:ascii="Times New Roman" w:hAnsi="Times New Roman" w:cs="Times New Roman"/>
          <w:color w:val="auto"/>
          <w:u w:val="single"/>
        </w:rPr>
        <w:t xml:space="preserve">na základě činností podle odstavce 2 </w:t>
      </w:r>
      <w:r w:rsidRPr="00F23FCB">
        <w:rPr>
          <w:rFonts w:ascii="Times New Roman" w:hAnsi="Times New Roman" w:cs="Times New Roman"/>
          <w:color w:val="auto"/>
          <w:u w:val="single"/>
        </w:rPr>
        <w:t>zpracovává zprávu o kapacitě pro ukládání oxidu uhličitého v rozsahu a v termínech podle čl. 21 nařízení Evropského parlamentu a Rady (EU) 2024/1735.</w:t>
      </w:r>
    </w:p>
    <w:p w14:paraId="6113CC5E" w14:textId="4DCB85CB" w:rsidR="0017245E" w:rsidRPr="00F23FCB" w:rsidRDefault="00F23FCB" w:rsidP="00E90280">
      <w:pPr>
        <w:pStyle w:val="Odstavecseseznamem"/>
        <w:numPr>
          <w:ilvl w:val="0"/>
          <w:numId w:val="24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auto"/>
          <w:u w:val="single"/>
        </w:rPr>
      </w:pPr>
      <w:r w:rsidRPr="00F23FCB">
        <w:rPr>
          <w:rFonts w:ascii="Times New Roman" w:hAnsi="Times New Roman" w:cs="Times New Roman"/>
          <w:color w:val="auto"/>
          <w:u w:val="single"/>
        </w:rPr>
        <w:t>Ministerstvo životního prostředí</w:t>
      </w:r>
      <w:r w:rsidR="007B44AE" w:rsidRPr="00F23FCB">
        <w:rPr>
          <w:rFonts w:ascii="Times New Roman" w:hAnsi="Times New Roman" w:cs="Times New Roman"/>
          <w:color w:val="auto"/>
          <w:u w:val="single"/>
        </w:rPr>
        <w:t xml:space="preserve"> provádí opatření podle čl. 22 nařízení Evropského parlamentu a Rady (EU) 2024/1735.</w:t>
      </w:r>
      <w:r w:rsidR="00F8405F" w:rsidRPr="00F23FCB">
        <w:rPr>
          <w:rFonts w:ascii="Times New Roman" w:hAnsi="Times New Roman" w:cs="Times New Roman"/>
          <w:color w:val="auto"/>
          <w:u w:val="single"/>
        </w:rPr>
        <w:t xml:space="preserve"> </w:t>
      </w:r>
    </w:p>
    <w:p w14:paraId="4F9419B3" w14:textId="72835E17" w:rsidR="0017245E" w:rsidRDefault="0017245E" w:rsidP="0017245E">
      <w:pPr>
        <w:spacing w:before="120" w:after="120" w:line="360" w:lineRule="auto"/>
        <w:rPr>
          <w:rFonts w:ascii="Times New Roman" w:hAnsi="Times New Roman" w:cs="Times New Roman"/>
          <w:i/>
          <w:iCs/>
        </w:rPr>
      </w:pPr>
      <w:r w:rsidRPr="00EF3B28">
        <w:rPr>
          <w:rFonts w:ascii="Times New Roman" w:hAnsi="Times New Roman" w:cs="Times New Roman"/>
          <w:i/>
          <w:iCs/>
        </w:rPr>
        <w:t>CELEX 32024R1735</w:t>
      </w:r>
    </w:p>
    <w:p w14:paraId="5B11C23F" w14:textId="41D89E3C" w:rsidR="00405EBE" w:rsidRDefault="00405EBE" w:rsidP="00F23FCB">
      <w:pPr>
        <w:spacing w:before="120" w:after="120" w:line="360" w:lineRule="auto"/>
        <w:jc w:val="center"/>
        <w:rPr>
          <w:rFonts w:ascii="Times New Roman" w:hAnsi="Times New Roman" w:cs="Times New Roman"/>
          <w:color w:val="auto"/>
        </w:rPr>
      </w:pPr>
      <w:r w:rsidRPr="00680563">
        <w:rPr>
          <w:rFonts w:ascii="Times New Roman" w:hAnsi="Times New Roman" w:cs="Times New Roman"/>
          <w:color w:val="auto"/>
        </w:rPr>
        <w:t xml:space="preserve">§ </w:t>
      </w:r>
      <w:r w:rsidR="006D56ED">
        <w:rPr>
          <w:rFonts w:ascii="Times New Roman" w:hAnsi="Times New Roman" w:cs="Times New Roman"/>
          <w:color w:val="auto"/>
        </w:rPr>
        <w:t>7</w:t>
      </w:r>
    </w:p>
    <w:p w14:paraId="2E2DF9D7" w14:textId="2E2E142F" w:rsidR="0035161F" w:rsidRPr="007111FF" w:rsidRDefault="00FF62D4" w:rsidP="000A2E02">
      <w:pPr>
        <w:pStyle w:val="Odstavecseseznamem"/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auto"/>
          <w:u w:val="single"/>
        </w:rPr>
      </w:pPr>
      <w:r w:rsidRPr="007111FF">
        <w:rPr>
          <w:rFonts w:ascii="Times New Roman" w:hAnsi="Times New Roman" w:cs="Times New Roman"/>
          <w:color w:val="auto"/>
          <w:u w:val="single"/>
        </w:rPr>
        <w:t xml:space="preserve">Orgány </w:t>
      </w:r>
      <w:r w:rsidR="001C28EE" w:rsidRPr="007111FF">
        <w:rPr>
          <w:rFonts w:ascii="Times New Roman" w:hAnsi="Times New Roman" w:cs="Times New Roman"/>
          <w:color w:val="auto"/>
          <w:u w:val="single"/>
        </w:rPr>
        <w:t xml:space="preserve">v oblasti posuzování vlivů na životní prostředí postupují podle čl. 10 odst. 4 </w:t>
      </w:r>
      <w:r w:rsidR="0035161F" w:rsidRPr="007111FF">
        <w:rPr>
          <w:rFonts w:ascii="Times New Roman" w:hAnsi="Times New Roman" w:cs="Times New Roman"/>
          <w:color w:val="auto"/>
          <w:u w:val="single"/>
        </w:rPr>
        <w:t>nařízení Evropského parlamentu a Rady (EU) 2024/1735.</w:t>
      </w:r>
    </w:p>
    <w:p w14:paraId="5671B1C7" w14:textId="6886F836" w:rsidR="000C6628" w:rsidRPr="007111FF" w:rsidRDefault="007111FF" w:rsidP="007111FF">
      <w:pPr>
        <w:spacing w:before="120" w:after="120" w:line="360" w:lineRule="auto"/>
        <w:rPr>
          <w:rFonts w:ascii="Times New Roman" w:hAnsi="Times New Roman" w:cs="Times New Roman"/>
          <w:i/>
          <w:iCs/>
        </w:rPr>
      </w:pPr>
      <w:r w:rsidRPr="00EF3B28">
        <w:rPr>
          <w:rFonts w:ascii="Times New Roman" w:hAnsi="Times New Roman" w:cs="Times New Roman"/>
          <w:i/>
          <w:iCs/>
        </w:rPr>
        <w:t>CELEX 32024R1735</w:t>
      </w:r>
    </w:p>
    <w:p w14:paraId="62AD1ACB" w14:textId="2E3B4308" w:rsidR="000A2E02" w:rsidRPr="007111FF" w:rsidRDefault="000A2E02" w:rsidP="000A2E02">
      <w:pPr>
        <w:jc w:val="center"/>
        <w:rPr>
          <w:color w:val="auto"/>
        </w:rPr>
      </w:pPr>
      <w:r w:rsidRPr="007111FF">
        <w:rPr>
          <w:color w:val="auto"/>
        </w:rPr>
        <w:t xml:space="preserve">§ </w:t>
      </w:r>
      <w:r w:rsidR="006D56ED">
        <w:rPr>
          <w:color w:val="auto"/>
        </w:rPr>
        <w:t>8</w:t>
      </w:r>
    </w:p>
    <w:p w14:paraId="0342AA4D" w14:textId="32875E94" w:rsidR="00191CE7" w:rsidRDefault="000A2E02" w:rsidP="007111FF">
      <w:pPr>
        <w:pStyle w:val="Odstavecseseznamem"/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  <w:color w:val="auto"/>
          <w:u w:val="single"/>
        </w:rPr>
      </w:pPr>
      <w:r w:rsidRPr="007111FF">
        <w:rPr>
          <w:rFonts w:ascii="Times New Roman" w:hAnsi="Times New Roman" w:cs="Times New Roman"/>
          <w:color w:val="auto"/>
          <w:u w:val="single"/>
        </w:rPr>
        <w:t xml:space="preserve">Orgány územního plánování postupují podle čl. 11 odst. 1 nařízení Evropského parlamentu a Rady (EU) 2024/1735. </w:t>
      </w:r>
    </w:p>
    <w:p w14:paraId="768A6203" w14:textId="77777777" w:rsidR="007111FF" w:rsidRPr="00EF3B28" w:rsidRDefault="007111FF" w:rsidP="007111FF">
      <w:pPr>
        <w:spacing w:before="120" w:after="120" w:line="360" w:lineRule="auto"/>
        <w:rPr>
          <w:rFonts w:ascii="Times New Roman" w:hAnsi="Times New Roman" w:cs="Times New Roman"/>
          <w:i/>
          <w:iCs/>
        </w:rPr>
      </w:pPr>
      <w:r w:rsidRPr="00EF3B28">
        <w:rPr>
          <w:rFonts w:ascii="Times New Roman" w:hAnsi="Times New Roman" w:cs="Times New Roman"/>
          <w:i/>
          <w:iCs/>
        </w:rPr>
        <w:t>CELEX 32024R1735</w:t>
      </w:r>
    </w:p>
    <w:p w14:paraId="73A13A3E" w14:textId="0E4410FC" w:rsidR="006231EA" w:rsidRPr="007111FF" w:rsidRDefault="006231EA" w:rsidP="00EF3B28">
      <w:pPr>
        <w:spacing w:before="120" w:after="120" w:line="360" w:lineRule="auto"/>
        <w:jc w:val="center"/>
        <w:rPr>
          <w:rFonts w:ascii="Times New Roman" w:hAnsi="Times New Roman" w:cs="Times New Roman"/>
          <w:color w:val="auto"/>
        </w:rPr>
      </w:pPr>
      <w:r w:rsidRPr="007111FF">
        <w:rPr>
          <w:rFonts w:ascii="Times New Roman" w:hAnsi="Times New Roman" w:cs="Times New Roman"/>
          <w:color w:val="auto"/>
        </w:rPr>
        <w:t xml:space="preserve">§ </w:t>
      </w:r>
      <w:r w:rsidR="006D56ED">
        <w:rPr>
          <w:rFonts w:ascii="Times New Roman" w:hAnsi="Times New Roman" w:cs="Times New Roman"/>
          <w:color w:val="auto"/>
        </w:rPr>
        <w:t>9</w:t>
      </w:r>
    </w:p>
    <w:p w14:paraId="1C48D457" w14:textId="2841A415" w:rsidR="00835276" w:rsidRPr="00A66831" w:rsidRDefault="00835276" w:rsidP="00680563">
      <w:pPr>
        <w:pStyle w:val="Odstavecseseznamem"/>
        <w:numPr>
          <w:ilvl w:val="0"/>
          <w:numId w:val="23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A66831">
        <w:rPr>
          <w:rFonts w:ascii="Times New Roman" w:hAnsi="Times New Roman" w:cs="Times New Roman"/>
        </w:rPr>
        <w:t>Při rozhodování podle tohoto zákona se postupuje podle správního řádu</w:t>
      </w:r>
      <w:r>
        <w:rPr>
          <w:rFonts w:ascii="Times New Roman" w:hAnsi="Times New Roman" w:cs="Times New Roman"/>
        </w:rPr>
        <w:t xml:space="preserve">, </w:t>
      </w:r>
      <w:r w:rsidR="003373ED">
        <w:rPr>
          <w:rFonts w:ascii="Times New Roman" w:hAnsi="Times New Roman" w:cs="Times New Roman"/>
        </w:rPr>
        <w:t>pokud odstavce 2 a 3 nestanoví jinak</w:t>
      </w:r>
      <w:r w:rsidRPr="00A66831">
        <w:rPr>
          <w:rFonts w:ascii="Times New Roman" w:hAnsi="Times New Roman" w:cs="Times New Roman"/>
        </w:rPr>
        <w:t>.</w:t>
      </w:r>
    </w:p>
    <w:p w14:paraId="3106DC6E" w14:textId="4DC7B6B3" w:rsidR="00835276" w:rsidRDefault="00835276" w:rsidP="00F55AA3">
      <w:pPr>
        <w:pStyle w:val="Odstavecseseznamem"/>
        <w:numPr>
          <w:ilvl w:val="0"/>
          <w:numId w:val="23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A66831">
        <w:rPr>
          <w:rFonts w:ascii="Times New Roman" w:hAnsi="Times New Roman" w:cs="Times New Roman"/>
        </w:rPr>
        <w:t xml:space="preserve">Proti rozhodnutí ministerstva podle § 4 odst. </w:t>
      </w:r>
      <w:r w:rsidR="00432C3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a </w:t>
      </w:r>
      <w:r w:rsidR="00432C36">
        <w:rPr>
          <w:rFonts w:ascii="Times New Roman" w:hAnsi="Times New Roman" w:cs="Times New Roman"/>
        </w:rPr>
        <w:t>5</w:t>
      </w:r>
      <w:r w:rsidRPr="00A66831">
        <w:rPr>
          <w:rFonts w:ascii="Times New Roman" w:hAnsi="Times New Roman" w:cs="Times New Roman"/>
        </w:rPr>
        <w:t xml:space="preserve"> není přípustný rozklad a nepřipouští se obnova řízení a přezkumné řízení s výjimkou postupu podle § 153 odst. 1 písm. a) správního řádu.  </w:t>
      </w:r>
    </w:p>
    <w:p w14:paraId="55B6BA93" w14:textId="370167B5" w:rsidR="003F2C71" w:rsidRDefault="00835276" w:rsidP="009F1A8E">
      <w:pPr>
        <w:pStyle w:val="Odstavecseseznamem"/>
        <w:numPr>
          <w:ilvl w:val="0"/>
          <w:numId w:val="23"/>
        </w:numPr>
        <w:tabs>
          <w:tab w:val="left" w:pos="1134"/>
        </w:tabs>
        <w:spacing w:before="120" w:after="120" w:line="360" w:lineRule="auto"/>
        <w:ind w:left="0" w:firstLine="567"/>
        <w:jc w:val="both"/>
        <w:rPr>
          <w:rFonts w:ascii="Times New Roman" w:hAnsi="Times New Roman" w:cs="Times New Roman"/>
        </w:rPr>
      </w:pPr>
      <w:r w:rsidRPr="001466C0">
        <w:rPr>
          <w:rFonts w:ascii="Times New Roman" w:hAnsi="Times New Roman" w:cs="Times New Roman"/>
        </w:rPr>
        <w:lastRenderedPageBreak/>
        <w:t xml:space="preserve">Rozhodnutí </w:t>
      </w:r>
      <w:r>
        <w:rPr>
          <w:rFonts w:ascii="Times New Roman" w:hAnsi="Times New Roman" w:cs="Times New Roman"/>
        </w:rPr>
        <w:t xml:space="preserve">podle § 4 odst. </w:t>
      </w:r>
      <w:r w:rsidR="00432C36">
        <w:rPr>
          <w:rFonts w:ascii="Times New Roman" w:hAnsi="Times New Roman" w:cs="Times New Roman"/>
        </w:rPr>
        <w:t>3</w:t>
      </w:r>
      <w:r w:rsidR="003B2A2F">
        <w:rPr>
          <w:rFonts w:ascii="Times New Roman" w:hAnsi="Times New Roman" w:cs="Times New Roman"/>
        </w:rPr>
        <w:t xml:space="preserve"> </w:t>
      </w:r>
      <w:r w:rsidRPr="001466C0">
        <w:rPr>
          <w:rFonts w:ascii="Times New Roman" w:hAnsi="Times New Roman" w:cs="Times New Roman"/>
        </w:rPr>
        <w:t>nenahrazuje rozhodnutí, stanovisko, vyjádření, souhlas, posouzení, popřípadě jin</w:t>
      </w:r>
      <w:r w:rsidR="002846EC">
        <w:rPr>
          <w:rFonts w:ascii="Times New Roman" w:hAnsi="Times New Roman" w:cs="Times New Roman"/>
        </w:rPr>
        <w:t>á</w:t>
      </w:r>
      <w:r w:rsidRPr="001466C0">
        <w:rPr>
          <w:rFonts w:ascii="Times New Roman" w:hAnsi="Times New Roman" w:cs="Times New Roman"/>
        </w:rPr>
        <w:t xml:space="preserve"> opatřen</w:t>
      </w:r>
      <w:r w:rsidR="00D551F9">
        <w:rPr>
          <w:rFonts w:ascii="Times New Roman" w:hAnsi="Times New Roman" w:cs="Times New Roman"/>
        </w:rPr>
        <w:t>í dotčených orgánů</w:t>
      </w:r>
      <w:r w:rsidRPr="001466C0">
        <w:rPr>
          <w:rFonts w:ascii="Times New Roman" w:hAnsi="Times New Roman" w:cs="Times New Roman"/>
        </w:rPr>
        <w:t xml:space="preserve"> vyžadované </w:t>
      </w:r>
      <w:r>
        <w:rPr>
          <w:rFonts w:ascii="Times New Roman" w:hAnsi="Times New Roman" w:cs="Times New Roman"/>
        </w:rPr>
        <w:t>jiným</w:t>
      </w:r>
      <w:r w:rsidRPr="001466C0">
        <w:rPr>
          <w:rFonts w:ascii="Times New Roman" w:hAnsi="Times New Roman" w:cs="Times New Roman"/>
        </w:rPr>
        <w:t xml:space="preserve"> právním předpisem.</w:t>
      </w:r>
    </w:p>
    <w:p w14:paraId="3BDD5C42" w14:textId="77777777" w:rsidR="00191CE7" w:rsidRPr="00191CE7" w:rsidRDefault="00191CE7" w:rsidP="00191CE7">
      <w:pPr>
        <w:pStyle w:val="Odstavecseseznamem"/>
        <w:tabs>
          <w:tab w:val="left" w:pos="1134"/>
        </w:tabs>
        <w:spacing w:before="120" w:after="120" w:line="360" w:lineRule="auto"/>
        <w:ind w:left="567"/>
        <w:jc w:val="both"/>
        <w:rPr>
          <w:rFonts w:ascii="Times New Roman" w:hAnsi="Times New Roman" w:cs="Times New Roman"/>
        </w:rPr>
      </w:pPr>
    </w:p>
    <w:p w14:paraId="5DF17585" w14:textId="5D5090C8" w:rsidR="00360AD4" w:rsidRPr="004E0004" w:rsidRDefault="004E0004" w:rsidP="009E3E1E">
      <w:pPr>
        <w:spacing w:before="120" w:after="12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ČÁST </w:t>
      </w:r>
      <w:r w:rsidR="009E3E1E">
        <w:rPr>
          <w:rFonts w:ascii="Times New Roman" w:hAnsi="Times New Roman" w:cs="Times New Roman"/>
        </w:rPr>
        <w:t>DRUHÁ</w:t>
      </w:r>
    </w:p>
    <w:p w14:paraId="58AD1A66" w14:textId="1D2FF123" w:rsidR="00E80909" w:rsidRDefault="00E80909" w:rsidP="00E80909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</w:rPr>
      </w:pPr>
      <w:r w:rsidRPr="009E3E1E">
        <w:rPr>
          <w:rFonts w:ascii="Times New Roman" w:hAnsi="Times New Roman" w:cs="Times New Roman"/>
          <w:b/>
          <w:bCs/>
        </w:rPr>
        <w:t>Změna zákona o posuzování vlivů na životní prostředí</w:t>
      </w:r>
    </w:p>
    <w:p w14:paraId="5342A075" w14:textId="5F9AC857" w:rsidR="000F5B89" w:rsidRPr="007111FF" w:rsidRDefault="000F5B89" w:rsidP="00E80909">
      <w:pPr>
        <w:spacing w:before="120" w:after="120" w:line="360" w:lineRule="auto"/>
        <w:jc w:val="center"/>
        <w:rPr>
          <w:rFonts w:ascii="Times New Roman" w:hAnsi="Times New Roman" w:cs="Times New Roman"/>
          <w:color w:val="auto"/>
        </w:rPr>
      </w:pPr>
      <w:r w:rsidRPr="007111FF">
        <w:rPr>
          <w:rFonts w:ascii="Times New Roman" w:hAnsi="Times New Roman" w:cs="Times New Roman"/>
          <w:color w:val="auto"/>
        </w:rPr>
        <w:t xml:space="preserve">§ </w:t>
      </w:r>
      <w:r w:rsidR="006D56ED">
        <w:rPr>
          <w:rFonts w:ascii="Times New Roman" w:hAnsi="Times New Roman" w:cs="Times New Roman"/>
          <w:color w:val="auto"/>
        </w:rPr>
        <w:t>10</w:t>
      </w:r>
    </w:p>
    <w:p w14:paraId="3CFDBBD4" w14:textId="40E59514" w:rsidR="000F5B89" w:rsidRPr="000F5B89" w:rsidRDefault="000F5B89" w:rsidP="000F5B89">
      <w:pPr>
        <w:spacing w:before="120" w:after="120" w:line="360" w:lineRule="auto"/>
        <w:ind w:firstLine="567"/>
        <w:jc w:val="both"/>
        <w:rPr>
          <w:rFonts w:ascii="Times New Roman" w:hAnsi="Times New Roman" w:cs="Times New Roman"/>
        </w:rPr>
      </w:pPr>
      <w:bookmarkStart w:id="7" w:name="_Hlk189040785"/>
      <w:r w:rsidRPr="000F5B89">
        <w:rPr>
          <w:rFonts w:ascii="Times New Roman" w:hAnsi="Times New Roman" w:cs="Times New Roman"/>
        </w:rPr>
        <w:t>Zákon č. 100/2001 Sb., o posuzování vlivů na životní prostředí a o změně některých souvisejících zákonů (zákon o posuzování vlivů na životní prostředí), ve znění</w:t>
      </w:r>
      <w:bookmarkEnd w:id="7"/>
      <w:r w:rsidRPr="000F5B89">
        <w:rPr>
          <w:rFonts w:ascii="Times New Roman" w:hAnsi="Times New Roman" w:cs="Times New Roman"/>
        </w:rPr>
        <w:t xml:space="preserve"> zákona č. 93/2004 Sb., zákona č. 163/2006 Sb., zákona č. 186/2006 Sb., zákona č. 216/2007 Sb., zákona č. 124/2008 Sb., zákona č. 223/2009 Sb., zákona č. 227/2009 Sb., zákona č. 436/2009 Sb., zákona č. 38/2012 Sb., zákona č. 85/2012 Sb., zákona č. 167/2012 Sb., zákona č. 350/2012 Sb., zákona č. 39/2015 Sb., zákona č. 268/2015 Sb., zákona č. 256/2016 Sb., zákona č. 298/2016 Sb., zákona č. 225/2017 Sb., zákona č. 326/2017 Sb., zákona č. 403/2020 Sb., zákona č. 261/2021 Sb., zákona č. 284/2021 Sb., zákona č. 413/2021 Sb.</w:t>
      </w:r>
      <w:r>
        <w:rPr>
          <w:rFonts w:ascii="Times New Roman" w:hAnsi="Times New Roman" w:cs="Times New Roman"/>
        </w:rPr>
        <w:t xml:space="preserve">, </w:t>
      </w:r>
      <w:r w:rsidRPr="000F5B89">
        <w:rPr>
          <w:rFonts w:ascii="Times New Roman" w:hAnsi="Times New Roman" w:cs="Times New Roman"/>
        </w:rPr>
        <w:t>zákona č. 149/2023 Sb.</w:t>
      </w:r>
      <w:r>
        <w:rPr>
          <w:rFonts w:ascii="Times New Roman" w:hAnsi="Times New Roman" w:cs="Times New Roman"/>
        </w:rPr>
        <w:t xml:space="preserve"> a zákona č. 465/2023 Sb.</w:t>
      </w:r>
      <w:r w:rsidRPr="000F5B89">
        <w:rPr>
          <w:rFonts w:ascii="Times New Roman" w:hAnsi="Times New Roman" w:cs="Times New Roman"/>
        </w:rPr>
        <w:t>, se mění takto:</w:t>
      </w:r>
    </w:p>
    <w:p w14:paraId="13ED8BAF" w14:textId="77777777" w:rsidR="008C1E30" w:rsidRPr="004E0004" w:rsidRDefault="008C1E30" w:rsidP="008C1E30">
      <w:pPr>
        <w:tabs>
          <w:tab w:val="left" w:pos="1134"/>
        </w:tabs>
        <w:spacing w:before="120" w:after="120" w:line="36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4E0004">
        <w:rPr>
          <w:rFonts w:ascii="Times New Roman" w:hAnsi="Times New Roman" w:cs="Times New Roman"/>
        </w:rPr>
        <w:t>1.</w:t>
      </w:r>
      <w:r w:rsidRPr="004E0004">
        <w:rPr>
          <w:rFonts w:ascii="Times New Roman" w:hAnsi="Times New Roman" w:cs="Times New Roman"/>
        </w:rPr>
        <w:tab/>
      </w:r>
      <w:r w:rsidRPr="000F5B89">
        <w:rPr>
          <w:rFonts w:ascii="Times New Roman" w:hAnsi="Times New Roman" w:cs="Times New Roman"/>
        </w:rPr>
        <w:t>Na konci poznámky pod čarou č. 1 se na samostatný řádek doplňuje věta</w:t>
      </w:r>
    </w:p>
    <w:p w14:paraId="60360D4C" w14:textId="0D42F680" w:rsidR="008C1E30" w:rsidRPr="009E3E1E" w:rsidRDefault="008C1E30" w:rsidP="009E3E1E">
      <w:pPr>
        <w:tabs>
          <w:tab w:val="left" w:pos="1134"/>
        </w:tabs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9E3E1E">
        <w:rPr>
          <w:rFonts w:ascii="Times New Roman" w:hAnsi="Times New Roman" w:cs="Times New Roman"/>
        </w:rPr>
        <w:t>„</w:t>
      </w:r>
      <w:bookmarkStart w:id="8" w:name="_Hlk189041364"/>
      <w:r w:rsidRPr="009E3E1E">
        <w:rPr>
          <w:rFonts w:ascii="Times New Roman" w:hAnsi="Times New Roman" w:cs="Times New Roman"/>
        </w:rPr>
        <w:t>Nařízení Evropského parlamentu a Rady (EU) 2024/1735 ze dne 13. června 2024, kterým se zřizuje rámec opatření pro posílení evropského ekosystému výroby technologií pro nulové čisté emise a mění nařízení (EU) 2018/1724.</w:t>
      </w:r>
      <w:bookmarkEnd w:id="8"/>
      <w:r w:rsidRPr="009E3E1E">
        <w:rPr>
          <w:rFonts w:ascii="Times New Roman" w:hAnsi="Times New Roman" w:cs="Times New Roman"/>
        </w:rPr>
        <w:t>“</w:t>
      </w:r>
      <w:r w:rsidR="009E3E1E" w:rsidRPr="009E3E1E">
        <w:rPr>
          <w:rFonts w:ascii="Times New Roman" w:hAnsi="Times New Roman" w:cs="Times New Roman"/>
        </w:rPr>
        <w:t>.</w:t>
      </w:r>
    </w:p>
    <w:p w14:paraId="4B9EFE9F" w14:textId="1710E47C" w:rsidR="00DD7B65" w:rsidRDefault="008C1E30" w:rsidP="008C1E30">
      <w:pPr>
        <w:tabs>
          <w:tab w:val="left" w:pos="1134"/>
        </w:tabs>
        <w:spacing w:before="120" w:after="120" w:line="36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4E0004">
        <w:rPr>
          <w:rFonts w:ascii="Times New Roman" w:hAnsi="Times New Roman" w:cs="Times New Roman"/>
        </w:rPr>
        <w:t>2.</w:t>
      </w:r>
      <w:r w:rsidRPr="004E0004">
        <w:rPr>
          <w:rFonts w:ascii="Times New Roman" w:hAnsi="Times New Roman" w:cs="Times New Roman"/>
        </w:rPr>
        <w:tab/>
      </w:r>
      <w:r w:rsidRPr="00A02AE5">
        <w:rPr>
          <w:rFonts w:ascii="Times New Roman" w:hAnsi="Times New Roman" w:cs="Times New Roman"/>
        </w:rPr>
        <w:t>V § 21 se na konci písmene k) slovo „a“ nahrazuje čárkou</w:t>
      </w:r>
      <w:r w:rsidR="00DD7B65" w:rsidRPr="00A02AE5">
        <w:rPr>
          <w:rFonts w:ascii="Times New Roman" w:hAnsi="Times New Roman" w:cs="Times New Roman"/>
        </w:rPr>
        <w:t>.</w:t>
      </w:r>
    </w:p>
    <w:p w14:paraId="7D19D702" w14:textId="7F2981F0" w:rsidR="008C1E30" w:rsidRPr="004E0004" w:rsidRDefault="00DD7B65" w:rsidP="008C1E30">
      <w:pPr>
        <w:tabs>
          <w:tab w:val="left" w:pos="1134"/>
        </w:tabs>
        <w:spacing w:before="120" w:after="120" w:line="36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A37969">
        <w:rPr>
          <w:rFonts w:ascii="Times New Roman" w:hAnsi="Times New Roman" w:cs="Times New Roman"/>
        </w:rPr>
        <w:t>3.</w:t>
      </w:r>
      <w:r w:rsidRPr="00A3796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V § 21 se </w:t>
      </w:r>
      <w:r w:rsidR="008C1E30" w:rsidRPr="004E0004">
        <w:rPr>
          <w:rFonts w:ascii="Times New Roman" w:hAnsi="Times New Roman" w:cs="Times New Roman"/>
          <w:u w:val="single"/>
        </w:rPr>
        <w:t>na konci písmene l) tečka nahrazuje slovem „a“ a doplňuje se písmeno m), které zní:</w:t>
      </w:r>
    </w:p>
    <w:p w14:paraId="7BD58E5C" w14:textId="7ED57D17" w:rsidR="007D405D" w:rsidRPr="004E0004" w:rsidRDefault="008C1E30" w:rsidP="003373ED">
      <w:pPr>
        <w:tabs>
          <w:tab w:val="left" w:pos="567"/>
        </w:tabs>
        <w:spacing w:before="120" w:after="120" w:line="360" w:lineRule="auto"/>
        <w:jc w:val="both"/>
        <w:rPr>
          <w:rFonts w:ascii="Times New Roman" w:hAnsi="Times New Roman" w:cs="Times New Roman"/>
          <w:u w:val="single"/>
        </w:rPr>
      </w:pPr>
      <w:r w:rsidRPr="004E0004">
        <w:rPr>
          <w:rFonts w:ascii="Times New Roman" w:hAnsi="Times New Roman" w:cs="Times New Roman"/>
          <w:u w:val="single"/>
        </w:rPr>
        <w:t>„</w:t>
      </w:r>
      <w:bookmarkStart w:id="9" w:name="_Hlk189041572"/>
      <w:r w:rsidRPr="004E0004">
        <w:rPr>
          <w:rFonts w:ascii="Times New Roman" w:hAnsi="Times New Roman" w:cs="Times New Roman"/>
          <w:u w:val="single"/>
        </w:rPr>
        <w:t>m)</w:t>
      </w:r>
      <w:r w:rsidR="003373ED">
        <w:rPr>
          <w:rFonts w:ascii="Times New Roman" w:hAnsi="Times New Roman" w:cs="Times New Roman"/>
          <w:u w:val="single"/>
        </w:rPr>
        <w:tab/>
      </w:r>
      <w:r w:rsidRPr="004E0004">
        <w:rPr>
          <w:rFonts w:ascii="Times New Roman" w:hAnsi="Times New Roman" w:cs="Times New Roman"/>
          <w:u w:val="single"/>
        </w:rPr>
        <w:t>je jednotným kontaktním místem ve smyslu čl. 6 nařízení Evropského parlamentu a Rady (EU) 2024/1735 pro záměry podléhající posuzování vlivů na životní prostředí ve vztahu k povinnostem uvedeným v čl. 9 odst. 5 a 9 a čl. 10 odst. 1 nařízení Evropského parlamentu a Rady (EU) 2024/1735.</w:t>
      </w:r>
      <w:bookmarkEnd w:id="9"/>
      <w:r w:rsidRPr="004E0004">
        <w:rPr>
          <w:rFonts w:ascii="Times New Roman" w:hAnsi="Times New Roman" w:cs="Times New Roman"/>
          <w:u w:val="single"/>
        </w:rPr>
        <w:t>“</w:t>
      </w:r>
      <w:r w:rsidR="003373ED">
        <w:rPr>
          <w:rFonts w:ascii="Times New Roman" w:hAnsi="Times New Roman" w:cs="Times New Roman"/>
          <w:u w:val="single"/>
        </w:rPr>
        <w:t>.</w:t>
      </w:r>
    </w:p>
    <w:p w14:paraId="16357E03" w14:textId="77777777" w:rsidR="000F5B89" w:rsidRPr="00EF3B28" w:rsidRDefault="000F5B89" w:rsidP="000F5B89">
      <w:pPr>
        <w:spacing w:before="120" w:after="120" w:line="360" w:lineRule="auto"/>
        <w:rPr>
          <w:rFonts w:ascii="Times New Roman" w:hAnsi="Times New Roman" w:cs="Times New Roman"/>
          <w:i/>
          <w:iCs/>
        </w:rPr>
      </w:pPr>
      <w:bookmarkStart w:id="10" w:name="_Hlk188259207"/>
      <w:r w:rsidRPr="00EF3B28">
        <w:rPr>
          <w:rFonts w:ascii="Times New Roman" w:hAnsi="Times New Roman" w:cs="Times New Roman"/>
          <w:i/>
          <w:iCs/>
        </w:rPr>
        <w:t>CELEX 32024R1735</w:t>
      </w:r>
    </w:p>
    <w:bookmarkEnd w:id="10"/>
    <w:p w14:paraId="4CBED88F" w14:textId="77777777" w:rsidR="008D0CB1" w:rsidRDefault="008D0CB1" w:rsidP="00315A1C">
      <w:pPr>
        <w:spacing w:before="120" w:after="120" w:line="360" w:lineRule="auto"/>
        <w:rPr>
          <w:rFonts w:ascii="Times New Roman" w:hAnsi="Times New Roman" w:cs="Times New Roman"/>
          <w:color w:val="auto"/>
        </w:rPr>
      </w:pPr>
    </w:p>
    <w:p w14:paraId="5662E94D" w14:textId="0A743E6D" w:rsidR="004E0004" w:rsidRPr="00191CE7" w:rsidRDefault="004E0004" w:rsidP="004E0004">
      <w:pPr>
        <w:spacing w:before="120" w:after="120" w:line="360" w:lineRule="auto"/>
        <w:jc w:val="center"/>
        <w:rPr>
          <w:rFonts w:ascii="Times New Roman" w:hAnsi="Times New Roman" w:cs="Times New Roman"/>
          <w:color w:val="auto"/>
        </w:rPr>
      </w:pPr>
      <w:r w:rsidRPr="00191CE7">
        <w:rPr>
          <w:rFonts w:ascii="Times New Roman" w:hAnsi="Times New Roman" w:cs="Times New Roman"/>
          <w:color w:val="auto"/>
        </w:rPr>
        <w:t xml:space="preserve">ČÁST </w:t>
      </w:r>
      <w:r w:rsidR="009E3E1E" w:rsidRPr="00191CE7">
        <w:rPr>
          <w:rFonts w:ascii="Times New Roman" w:hAnsi="Times New Roman" w:cs="Times New Roman"/>
          <w:color w:val="auto"/>
        </w:rPr>
        <w:t>TŘETÍ</w:t>
      </w:r>
    </w:p>
    <w:p w14:paraId="36878370" w14:textId="4A4740FF" w:rsidR="005C1F90" w:rsidRPr="00191CE7" w:rsidRDefault="00360AD4" w:rsidP="005C1F90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191CE7">
        <w:rPr>
          <w:rFonts w:ascii="Times New Roman" w:hAnsi="Times New Roman" w:cs="Times New Roman"/>
          <w:b/>
          <w:bCs/>
          <w:color w:val="auto"/>
        </w:rPr>
        <w:t>Změna zákona o urychlení výstavby strategicky významné infrastruktury</w:t>
      </w:r>
    </w:p>
    <w:p w14:paraId="3D9EE598" w14:textId="50048A2C" w:rsidR="005C1F90" w:rsidRPr="007111FF" w:rsidRDefault="005C1F90" w:rsidP="005C1F90">
      <w:pPr>
        <w:jc w:val="center"/>
        <w:rPr>
          <w:rFonts w:ascii="Times New Roman" w:hAnsi="Times New Roman" w:cs="Times New Roman"/>
          <w:color w:val="auto"/>
        </w:rPr>
      </w:pPr>
      <w:r w:rsidRPr="007111FF">
        <w:rPr>
          <w:rFonts w:ascii="Times New Roman" w:hAnsi="Times New Roman" w:cs="Times New Roman"/>
          <w:color w:val="auto"/>
        </w:rPr>
        <w:t>§</w:t>
      </w:r>
      <w:r w:rsidR="00735409" w:rsidRPr="007111FF">
        <w:rPr>
          <w:rFonts w:ascii="Times New Roman" w:hAnsi="Times New Roman" w:cs="Times New Roman"/>
          <w:color w:val="auto"/>
        </w:rPr>
        <w:t xml:space="preserve"> </w:t>
      </w:r>
      <w:r w:rsidR="006D56ED">
        <w:rPr>
          <w:rFonts w:ascii="Times New Roman" w:hAnsi="Times New Roman" w:cs="Times New Roman"/>
          <w:color w:val="auto"/>
        </w:rPr>
        <w:t>11</w:t>
      </w:r>
    </w:p>
    <w:p w14:paraId="71BE4FD6" w14:textId="1845ECAA" w:rsidR="0096632F" w:rsidRDefault="004B2E25" w:rsidP="004B2E25">
      <w:pPr>
        <w:spacing w:before="120" w:after="12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bookmarkStart w:id="11" w:name="_Hlk189040804"/>
      <w:r>
        <w:rPr>
          <w:rFonts w:ascii="Times New Roman" w:hAnsi="Times New Roman" w:cs="Times New Roman"/>
          <w:color w:val="auto"/>
        </w:rPr>
        <w:t>Zákon</w:t>
      </w:r>
      <w:r w:rsidR="005C1F90" w:rsidRPr="00191CE7">
        <w:rPr>
          <w:rFonts w:ascii="Times New Roman" w:hAnsi="Times New Roman" w:cs="Times New Roman"/>
          <w:color w:val="auto"/>
        </w:rPr>
        <w:t xml:space="preserve"> č. 416/2009 Sb., o urychlení výstavby strategicky významné infrastruktury, ve znění</w:t>
      </w:r>
      <w:bookmarkEnd w:id="11"/>
      <w:r w:rsidR="005C1F90" w:rsidRPr="00191CE7">
        <w:rPr>
          <w:rFonts w:ascii="Times New Roman" w:hAnsi="Times New Roman" w:cs="Times New Roman"/>
          <w:color w:val="auto"/>
        </w:rPr>
        <w:t xml:space="preserve"> zákona </w:t>
      </w:r>
      <w:r w:rsidR="00E27EF4" w:rsidRPr="00191CE7">
        <w:rPr>
          <w:rFonts w:ascii="Times New Roman" w:hAnsi="Times New Roman" w:cs="Times New Roman"/>
          <w:color w:val="auto"/>
        </w:rPr>
        <w:t xml:space="preserve">č. </w:t>
      </w:r>
      <w:r w:rsidR="00680563" w:rsidRPr="00191CE7">
        <w:rPr>
          <w:rFonts w:ascii="Times New Roman" w:hAnsi="Times New Roman" w:cs="Times New Roman"/>
          <w:color w:val="auto"/>
        </w:rPr>
        <w:t xml:space="preserve">209/2011 Sb., </w:t>
      </w:r>
      <w:r>
        <w:rPr>
          <w:rFonts w:ascii="Times New Roman" w:hAnsi="Times New Roman" w:cs="Times New Roman"/>
          <w:color w:val="auto"/>
        </w:rPr>
        <w:t xml:space="preserve">zákona č. </w:t>
      </w:r>
      <w:r w:rsidRPr="004B2E25">
        <w:rPr>
          <w:rFonts w:ascii="Times New Roman" w:hAnsi="Times New Roman" w:cs="Times New Roman"/>
          <w:color w:val="auto"/>
        </w:rPr>
        <w:t>405/2012 Sb.</w:t>
      </w:r>
      <w:r>
        <w:rPr>
          <w:rFonts w:ascii="Times New Roman" w:hAnsi="Times New Roman" w:cs="Times New Roman"/>
          <w:color w:val="auto"/>
        </w:rPr>
        <w:t xml:space="preserve">, zákona č. </w:t>
      </w:r>
      <w:r w:rsidRPr="004B2E25">
        <w:rPr>
          <w:rFonts w:ascii="Times New Roman" w:hAnsi="Times New Roman" w:cs="Times New Roman"/>
          <w:color w:val="auto"/>
        </w:rPr>
        <w:t>178/2014 Sb.</w:t>
      </w:r>
      <w:r>
        <w:rPr>
          <w:rFonts w:ascii="Times New Roman" w:hAnsi="Times New Roman" w:cs="Times New Roman"/>
          <w:color w:val="auto"/>
        </w:rPr>
        <w:t>, zákona č.</w:t>
      </w:r>
      <w:r w:rsidRPr="004B2E25">
        <w:rPr>
          <w:rFonts w:ascii="Times New Roman" w:hAnsi="Times New Roman" w:cs="Times New Roman"/>
          <w:color w:val="auto"/>
        </w:rPr>
        <w:t xml:space="preserve"> 49/2016 Sb.</w:t>
      </w:r>
      <w:r>
        <w:rPr>
          <w:rFonts w:ascii="Times New Roman" w:hAnsi="Times New Roman" w:cs="Times New Roman"/>
          <w:color w:val="auto"/>
        </w:rPr>
        <w:t xml:space="preserve">, zákona č. </w:t>
      </w:r>
      <w:r w:rsidRPr="004B2E25">
        <w:rPr>
          <w:rFonts w:ascii="Times New Roman" w:hAnsi="Times New Roman" w:cs="Times New Roman"/>
          <w:color w:val="auto"/>
        </w:rPr>
        <w:t>194/2017 Sb.</w:t>
      </w:r>
      <w:r>
        <w:rPr>
          <w:rFonts w:ascii="Times New Roman" w:hAnsi="Times New Roman" w:cs="Times New Roman"/>
          <w:color w:val="auto"/>
        </w:rPr>
        <w:t xml:space="preserve">, zákona č. </w:t>
      </w:r>
      <w:r w:rsidRPr="004B2E25">
        <w:rPr>
          <w:rFonts w:ascii="Times New Roman" w:hAnsi="Times New Roman" w:cs="Times New Roman"/>
          <w:color w:val="auto"/>
        </w:rPr>
        <w:t>225/2017 Sb.</w:t>
      </w:r>
      <w:r>
        <w:rPr>
          <w:rFonts w:ascii="Times New Roman" w:hAnsi="Times New Roman" w:cs="Times New Roman"/>
          <w:color w:val="auto"/>
        </w:rPr>
        <w:t>, zákona č.</w:t>
      </w:r>
      <w:r w:rsidRPr="004B2E25">
        <w:rPr>
          <w:rFonts w:ascii="Times New Roman" w:hAnsi="Times New Roman" w:cs="Times New Roman"/>
          <w:color w:val="auto"/>
        </w:rPr>
        <w:t xml:space="preserve"> 169/2018 Sb.</w:t>
      </w:r>
      <w:r>
        <w:rPr>
          <w:rFonts w:ascii="Times New Roman" w:hAnsi="Times New Roman" w:cs="Times New Roman"/>
          <w:color w:val="auto"/>
        </w:rPr>
        <w:t xml:space="preserve">, zákona č. </w:t>
      </w:r>
      <w:r w:rsidRPr="004B2E25">
        <w:rPr>
          <w:rFonts w:ascii="Times New Roman" w:hAnsi="Times New Roman" w:cs="Times New Roman"/>
          <w:color w:val="auto"/>
        </w:rPr>
        <w:t xml:space="preserve">237/2020 Sb., </w:t>
      </w:r>
      <w:r>
        <w:rPr>
          <w:rFonts w:ascii="Times New Roman" w:hAnsi="Times New Roman" w:cs="Times New Roman"/>
          <w:color w:val="auto"/>
        </w:rPr>
        <w:t xml:space="preserve">zákona č. </w:t>
      </w:r>
      <w:r w:rsidRPr="004B2E25">
        <w:rPr>
          <w:rFonts w:ascii="Times New Roman" w:hAnsi="Times New Roman" w:cs="Times New Roman"/>
          <w:color w:val="auto"/>
        </w:rPr>
        <w:t>403/2020 Sb.</w:t>
      </w:r>
      <w:r>
        <w:rPr>
          <w:rFonts w:ascii="Times New Roman" w:hAnsi="Times New Roman" w:cs="Times New Roman"/>
          <w:color w:val="auto"/>
        </w:rPr>
        <w:t xml:space="preserve">, zákona č. </w:t>
      </w:r>
      <w:r w:rsidRPr="004B2E25">
        <w:rPr>
          <w:rFonts w:ascii="Times New Roman" w:hAnsi="Times New Roman" w:cs="Times New Roman"/>
          <w:color w:val="auto"/>
        </w:rPr>
        <w:t xml:space="preserve">126/2023 Sb., </w:t>
      </w:r>
      <w:r>
        <w:rPr>
          <w:rFonts w:ascii="Times New Roman" w:hAnsi="Times New Roman" w:cs="Times New Roman"/>
          <w:color w:val="auto"/>
        </w:rPr>
        <w:t xml:space="preserve">zákona č. </w:t>
      </w:r>
      <w:r w:rsidRPr="004B2E25">
        <w:rPr>
          <w:rFonts w:ascii="Times New Roman" w:hAnsi="Times New Roman" w:cs="Times New Roman"/>
          <w:color w:val="auto"/>
        </w:rPr>
        <w:t>152/2023 Sb.</w:t>
      </w:r>
      <w:r>
        <w:rPr>
          <w:rFonts w:ascii="Times New Roman" w:hAnsi="Times New Roman" w:cs="Times New Roman"/>
          <w:color w:val="auto"/>
        </w:rPr>
        <w:t>,</w:t>
      </w:r>
      <w:r w:rsidRPr="004B2E2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zákona č.</w:t>
      </w:r>
      <w:r w:rsidRPr="004B2E25">
        <w:rPr>
          <w:rFonts w:ascii="Times New Roman" w:hAnsi="Times New Roman" w:cs="Times New Roman"/>
          <w:color w:val="auto"/>
        </w:rPr>
        <w:t xml:space="preserve"> 202/2023 Sb.</w:t>
      </w:r>
      <w:r>
        <w:rPr>
          <w:rFonts w:ascii="Times New Roman" w:hAnsi="Times New Roman" w:cs="Times New Roman"/>
          <w:color w:val="auto"/>
        </w:rPr>
        <w:t>, zákona č.</w:t>
      </w:r>
      <w:r w:rsidRPr="004B2E25">
        <w:rPr>
          <w:rFonts w:ascii="Times New Roman" w:hAnsi="Times New Roman" w:cs="Times New Roman"/>
          <w:color w:val="auto"/>
        </w:rPr>
        <w:t xml:space="preserve"> 284/2021 Sb.,</w:t>
      </w:r>
      <w:r>
        <w:rPr>
          <w:rFonts w:ascii="Times New Roman" w:hAnsi="Times New Roman" w:cs="Times New Roman"/>
          <w:color w:val="auto"/>
        </w:rPr>
        <w:t xml:space="preserve"> zákona č.</w:t>
      </w:r>
      <w:r w:rsidRPr="004B2E25">
        <w:rPr>
          <w:rFonts w:ascii="Times New Roman" w:hAnsi="Times New Roman" w:cs="Times New Roman"/>
          <w:color w:val="auto"/>
        </w:rPr>
        <w:t xml:space="preserve"> 465/2023 Sb.</w:t>
      </w:r>
      <w:r w:rsidR="00C52630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  <w:color w:val="auto"/>
        </w:rPr>
        <w:t>zákona č.</w:t>
      </w:r>
      <w:r w:rsidRPr="004B2E25">
        <w:rPr>
          <w:rFonts w:ascii="Times New Roman" w:hAnsi="Times New Roman" w:cs="Times New Roman"/>
          <w:color w:val="auto"/>
        </w:rPr>
        <w:t xml:space="preserve"> 183/2024 Sb.</w:t>
      </w:r>
      <w:r w:rsidR="00C52630">
        <w:rPr>
          <w:rFonts w:ascii="Times New Roman" w:hAnsi="Times New Roman" w:cs="Times New Roman"/>
          <w:color w:val="auto"/>
        </w:rPr>
        <w:t xml:space="preserve"> a zákona</w:t>
      </w:r>
      <w:r w:rsidR="00C46E20">
        <w:rPr>
          <w:rFonts w:ascii="Times New Roman" w:hAnsi="Times New Roman" w:cs="Times New Roman"/>
          <w:color w:val="auto"/>
        </w:rPr>
        <w:t xml:space="preserve"> …</w:t>
      </w:r>
      <w:r w:rsidR="00191CE7" w:rsidRPr="00191CE7">
        <w:rPr>
          <w:rFonts w:ascii="Times New Roman" w:hAnsi="Times New Roman" w:cs="Times New Roman"/>
          <w:color w:val="auto"/>
        </w:rPr>
        <w:t xml:space="preserve">, </w:t>
      </w:r>
      <w:r w:rsidR="0017245E" w:rsidRPr="00191CE7">
        <w:rPr>
          <w:rFonts w:ascii="Times New Roman" w:hAnsi="Times New Roman" w:cs="Times New Roman"/>
          <w:color w:val="auto"/>
        </w:rPr>
        <w:t xml:space="preserve">se </w:t>
      </w:r>
      <w:r w:rsidR="0096632F">
        <w:rPr>
          <w:rFonts w:ascii="Times New Roman" w:hAnsi="Times New Roman" w:cs="Times New Roman"/>
          <w:color w:val="auto"/>
        </w:rPr>
        <w:t xml:space="preserve">mění takto:   </w:t>
      </w:r>
    </w:p>
    <w:p w14:paraId="2F66124C" w14:textId="234F106A" w:rsidR="0096632F" w:rsidRPr="00A02AE5" w:rsidRDefault="0096632F" w:rsidP="0096632F">
      <w:pPr>
        <w:pStyle w:val="Odstavecseseznamem"/>
        <w:numPr>
          <w:ilvl w:val="0"/>
          <w:numId w:val="29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imes New Roman" w:hAnsi="Times New Roman" w:cs="Times New Roman"/>
        </w:rPr>
      </w:pPr>
      <w:r w:rsidRPr="00A02AE5">
        <w:rPr>
          <w:rFonts w:ascii="Times New Roman" w:hAnsi="Times New Roman" w:cs="Times New Roman"/>
        </w:rPr>
        <w:lastRenderedPageBreak/>
        <w:t>Na konci poznámky pod čarou č. 24 se na samostatný řádek doplňuje věta</w:t>
      </w:r>
    </w:p>
    <w:p w14:paraId="2B3576C5" w14:textId="2EE2E761" w:rsidR="0096632F" w:rsidRPr="0096632F" w:rsidRDefault="0096632F" w:rsidP="0096632F">
      <w:pPr>
        <w:tabs>
          <w:tab w:val="left" w:pos="1134"/>
        </w:tabs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96632F">
        <w:rPr>
          <w:rFonts w:ascii="Times New Roman" w:hAnsi="Times New Roman" w:cs="Times New Roman"/>
        </w:rPr>
        <w:t>„</w:t>
      </w:r>
      <w:bookmarkStart w:id="12" w:name="_Hlk189041030"/>
      <w:r w:rsidRPr="0096632F">
        <w:rPr>
          <w:rFonts w:ascii="Times New Roman" w:hAnsi="Times New Roman" w:cs="Times New Roman"/>
        </w:rPr>
        <w:t>Nařízení Evropského parlamentu a Rady (EU) 2024/1735 ze dne 13. června 2024, kterým se zřizuje rámec opatření pro posílení evropského ekosystému výroby technologií pro nulové čisté emise a mění nařízení (EU) 2018/1724.</w:t>
      </w:r>
      <w:bookmarkEnd w:id="12"/>
      <w:r w:rsidRPr="0096632F">
        <w:rPr>
          <w:rFonts w:ascii="Times New Roman" w:hAnsi="Times New Roman" w:cs="Times New Roman"/>
        </w:rPr>
        <w:t>“.</w:t>
      </w:r>
    </w:p>
    <w:p w14:paraId="5224E89C" w14:textId="599561C9" w:rsidR="0096632F" w:rsidRPr="0096632F" w:rsidRDefault="0096632F" w:rsidP="0096632F">
      <w:pPr>
        <w:pStyle w:val="Odstavecseseznamem"/>
        <w:numPr>
          <w:ilvl w:val="0"/>
          <w:numId w:val="29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V </w:t>
      </w:r>
      <w:r w:rsidR="004B2E25">
        <w:rPr>
          <w:rFonts w:ascii="Times New Roman" w:hAnsi="Times New Roman" w:cs="Times New Roman"/>
        </w:rPr>
        <w:t xml:space="preserve">§ </w:t>
      </w:r>
      <w:r>
        <w:rPr>
          <w:rFonts w:ascii="Times New Roman" w:hAnsi="Times New Roman" w:cs="Times New Roman"/>
        </w:rPr>
        <w:t>1 se doplňuje odstavec 14, který zní:</w:t>
      </w:r>
    </w:p>
    <w:p w14:paraId="2DE926F2" w14:textId="75BA2B3D" w:rsidR="005C1F90" w:rsidRPr="00191CE7" w:rsidRDefault="00735409" w:rsidP="006D56ED">
      <w:pPr>
        <w:tabs>
          <w:tab w:val="left" w:pos="1134"/>
        </w:tabs>
        <w:spacing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191CE7">
        <w:rPr>
          <w:rFonts w:ascii="Times New Roman" w:hAnsi="Times New Roman" w:cs="Times New Roman"/>
          <w:color w:val="auto"/>
        </w:rPr>
        <w:t>„</w:t>
      </w:r>
      <w:bookmarkStart w:id="13" w:name="_Hlk189040949"/>
      <w:r w:rsidR="005C1F90" w:rsidRPr="00191CE7">
        <w:rPr>
          <w:rFonts w:ascii="Times New Roman" w:hAnsi="Times New Roman" w:cs="Times New Roman"/>
          <w:color w:val="auto"/>
          <w:u w:val="single"/>
        </w:rPr>
        <w:t>(14)</w:t>
      </w:r>
      <w:r w:rsidR="006D56ED">
        <w:rPr>
          <w:rFonts w:ascii="Times New Roman" w:hAnsi="Times New Roman" w:cs="Times New Roman"/>
          <w:color w:val="auto"/>
          <w:u w:val="single"/>
        </w:rPr>
        <w:tab/>
      </w:r>
      <w:r w:rsidR="005C1F90" w:rsidRPr="00191CE7">
        <w:rPr>
          <w:rFonts w:ascii="Times New Roman" w:hAnsi="Times New Roman" w:cs="Times New Roman"/>
          <w:color w:val="auto"/>
          <w:u w:val="single"/>
        </w:rPr>
        <w:t xml:space="preserve">Při povolování staveb, ve kterých mají být uskutečňovány činnosti výrob technologií </w:t>
      </w:r>
      <w:r w:rsidR="00AE1E2D">
        <w:rPr>
          <w:rFonts w:ascii="Times New Roman" w:hAnsi="Times New Roman" w:cs="Times New Roman"/>
          <w:color w:val="auto"/>
          <w:u w:val="single"/>
        </w:rPr>
        <w:t xml:space="preserve"> a komponent </w:t>
      </w:r>
      <w:r w:rsidR="005C1F90" w:rsidRPr="00191CE7">
        <w:rPr>
          <w:rFonts w:ascii="Times New Roman" w:hAnsi="Times New Roman" w:cs="Times New Roman"/>
          <w:color w:val="auto"/>
          <w:u w:val="single"/>
        </w:rPr>
        <w:t>pro nulové čisté emise uvedené v příloze I k nařízení Evropského parlamentu a Rady (EU) 2024/1735</w:t>
      </w:r>
      <w:r w:rsidR="00C039B4" w:rsidRPr="00191CE7">
        <w:rPr>
          <w:rFonts w:ascii="Times New Roman" w:hAnsi="Times New Roman" w:cs="Times New Roman"/>
          <w:color w:val="auto"/>
          <w:u w:val="single"/>
        </w:rPr>
        <w:t xml:space="preserve"> a staveb energeticky náročného zařízení</w:t>
      </w:r>
      <w:r w:rsidR="00AE1E2D">
        <w:rPr>
          <w:rFonts w:ascii="Times New Roman" w:hAnsi="Times New Roman" w:cs="Times New Roman"/>
          <w:color w:val="auto"/>
          <w:u w:val="single"/>
        </w:rPr>
        <w:t xml:space="preserve"> nebo jejich změn</w:t>
      </w:r>
      <w:r w:rsidR="00C039B4" w:rsidRPr="00191CE7">
        <w:rPr>
          <w:rFonts w:ascii="Times New Roman" w:hAnsi="Times New Roman" w:cs="Times New Roman"/>
          <w:color w:val="auto"/>
          <w:u w:val="single"/>
        </w:rPr>
        <w:t xml:space="preserve"> z odvětví výroby oceli, hliníku, neželezných kovů, chemi</w:t>
      </w:r>
      <w:r w:rsidR="00AD5C77">
        <w:rPr>
          <w:rFonts w:ascii="Times New Roman" w:hAnsi="Times New Roman" w:cs="Times New Roman"/>
          <w:color w:val="auto"/>
          <w:u w:val="single"/>
        </w:rPr>
        <w:t>ckých látek</w:t>
      </w:r>
      <w:r w:rsidR="00C039B4" w:rsidRPr="00191CE7">
        <w:rPr>
          <w:rFonts w:ascii="Times New Roman" w:hAnsi="Times New Roman" w:cs="Times New Roman"/>
          <w:color w:val="auto"/>
          <w:u w:val="single"/>
        </w:rPr>
        <w:t>, cementu, vápna, skla, keramiky, hnojiv, jakož i celulózy a papíru, které jsou součástí dodavatelského řetězce technologie pro nulové čisté emise a které mají výrazně a trvale snížit míry emisí ekvivalentu oxidu uhličitého z průmyslových procesů</w:t>
      </w:r>
      <w:r w:rsidR="005C1F90" w:rsidRPr="00191CE7">
        <w:rPr>
          <w:rFonts w:ascii="Times New Roman" w:hAnsi="Times New Roman" w:cs="Times New Roman"/>
          <w:color w:val="auto"/>
          <w:u w:val="single"/>
        </w:rPr>
        <w:t xml:space="preserve"> se postupuje obdobně jako při povolování strategických investičních staveb podle odstavce 13.</w:t>
      </w:r>
      <w:bookmarkEnd w:id="13"/>
      <w:r w:rsidRPr="00191CE7">
        <w:rPr>
          <w:rFonts w:ascii="Times New Roman" w:hAnsi="Times New Roman" w:cs="Times New Roman"/>
          <w:color w:val="auto"/>
        </w:rPr>
        <w:t>“</w:t>
      </w:r>
      <w:r w:rsidR="0017245E" w:rsidRPr="00191CE7">
        <w:rPr>
          <w:rFonts w:ascii="Times New Roman" w:hAnsi="Times New Roman" w:cs="Times New Roman"/>
          <w:color w:val="auto"/>
        </w:rPr>
        <w:t>.</w:t>
      </w:r>
      <w:r w:rsidR="005C1F90" w:rsidRPr="00E77EAE">
        <w:rPr>
          <w:rFonts w:ascii="Times New Roman" w:hAnsi="Times New Roman" w:cs="Times New Roman"/>
          <w:color w:val="FF0000"/>
        </w:rPr>
        <w:t xml:space="preserve">  </w:t>
      </w:r>
    </w:p>
    <w:p w14:paraId="7D4E6A08" w14:textId="54AB001E" w:rsidR="00315A1C" w:rsidRDefault="0017245E" w:rsidP="00880F6F">
      <w:pPr>
        <w:spacing w:before="120" w:after="120" w:line="360" w:lineRule="auto"/>
        <w:rPr>
          <w:rFonts w:ascii="Times New Roman" w:hAnsi="Times New Roman" w:cs="Times New Roman"/>
          <w:i/>
          <w:iCs/>
        </w:rPr>
      </w:pPr>
      <w:r w:rsidRPr="00EF3B28">
        <w:rPr>
          <w:rFonts w:ascii="Times New Roman" w:hAnsi="Times New Roman" w:cs="Times New Roman"/>
          <w:i/>
          <w:iCs/>
        </w:rPr>
        <w:t>CELEX 32024R1735</w:t>
      </w:r>
    </w:p>
    <w:p w14:paraId="3F305E82" w14:textId="74C4E0D8" w:rsidR="00F43CED" w:rsidRDefault="00F67DF0" w:rsidP="00F43CED">
      <w:pPr>
        <w:pStyle w:val="Odstavecseseznamem"/>
        <w:numPr>
          <w:ilvl w:val="0"/>
          <w:numId w:val="29"/>
        </w:numPr>
        <w:spacing w:before="120"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části třetí se na konec doplňuje § 5j, který zní:</w:t>
      </w:r>
    </w:p>
    <w:p w14:paraId="3FF2AB14" w14:textId="2F50401B" w:rsidR="00F67DF0" w:rsidRDefault="00F67DF0" w:rsidP="00F67DF0">
      <w:pPr>
        <w:spacing w:before="120" w:after="120" w:line="360" w:lineRule="auto"/>
        <w:rPr>
          <w:rFonts w:ascii="Times New Roman" w:hAnsi="Times New Roman" w:cs="Times New Roman"/>
        </w:rPr>
      </w:pPr>
    </w:p>
    <w:p w14:paraId="5F7FFDE2" w14:textId="77777777" w:rsidR="00F67DF0" w:rsidRPr="00F67DF0" w:rsidRDefault="00F67DF0" w:rsidP="00E0001D">
      <w:pPr>
        <w:spacing w:before="120" w:after="120" w:line="360" w:lineRule="auto"/>
        <w:jc w:val="center"/>
        <w:rPr>
          <w:rFonts w:ascii="Times New Roman" w:hAnsi="Times New Roman" w:cs="Times New Roman"/>
        </w:rPr>
      </w:pPr>
      <w:r w:rsidRPr="00F67DF0">
        <w:rPr>
          <w:rFonts w:ascii="Times New Roman" w:hAnsi="Times New Roman" w:cs="Times New Roman"/>
        </w:rPr>
        <w:t>§ 5j</w:t>
      </w:r>
    </w:p>
    <w:p w14:paraId="2643DE91" w14:textId="63A054AD" w:rsidR="00F67DF0" w:rsidRPr="00E0001D" w:rsidRDefault="00F67DF0" w:rsidP="00F67DF0">
      <w:pPr>
        <w:spacing w:before="120" w:after="120" w:line="360" w:lineRule="auto"/>
        <w:rPr>
          <w:rFonts w:ascii="Times New Roman" w:hAnsi="Times New Roman" w:cs="Times New Roman"/>
          <w:b/>
          <w:bCs/>
        </w:rPr>
      </w:pPr>
      <w:r w:rsidRPr="00E0001D">
        <w:rPr>
          <w:rFonts w:ascii="Times New Roman" w:hAnsi="Times New Roman" w:cs="Times New Roman"/>
          <w:b/>
          <w:bCs/>
        </w:rPr>
        <w:t>Přijetí rozhodnutí o určení oblasti jako údolí pro urychlení zavádění technologií pro nulové čisté emise</w:t>
      </w:r>
    </w:p>
    <w:p w14:paraId="14BE3A98" w14:textId="4711E6F7" w:rsidR="00F67DF0" w:rsidRPr="00F67DF0" w:rsidRDefault="00F67DF0" w:rsidP="00E0001D">
      <w:pPr>
        <w:tabs>
          <w:tab w:val="left" w:pos="1134"/>
        </w:tabs>
        <w:spacing w:after="120" w:line="360" w:lineRule="auto"/>
        <w:ind w:firstLine="567"/>
        <w:jc w:val="both"/>
        <w:rPr>
          <w:rFonts w:ascii="Times New Roman" w:hAnsi="Times New Roman" w:cs="Times New Roman"/>
        </w:rPr>
      </w:pPr>
      <w:r w:rsidRPr="00F67DF0">
        <w:rPr>
          <w:rFonts w:ascii="Times New Roman" w:hAnsi="Times New Roman" w:cs="Times New Roman"/>
        </w:rPr>
        <w:t>(1)</w:t>
      </w:r>
      <w:r w:rsidR="006D56ED">
        <w:rPr>
          <w:rFonts w:ascii="Times New Roman" w:hAnsi="Times New Roman" w:cs="Times New Roman"/>
        </w:rPr>
        <w:tab/>
      </w:r>
      <w:r w:rsidRPr="00A37969">
        <w:rPr>
          <w:rFonts w:ascii="Times New Roman" w:hAnsi="Times New Roman" w:cs="Times New Roman"/>
          <w:u w:val="single"/>
        </w:rPr>
        <w:t xml:space="preserve">Jako údolí pro urychlení zavádění technologií pro nulové čisté emise (dále jen „údolí“) mohou být na území České republiky v zastavitelných nebo transformačních plochách uvedených v příloze č. 3 k tomuto zákonu určeny oblasti, které </w:t>
      </w:r>
    </w:p>
    <w:p w14:paraId="3B265C68" w14:textId="5030D547" w:rsidR="00F67DF0" w:rsidRPr="00F67DF0" w:rsidRDefault="00F67DF0" w:rsidP="00E0001D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67DF0">
        <w:rPr>
          <w:rFonts w:ascii="Times New Roman" w:hAnsi="Times New Roman" w:cs="Times New Roman"/>
        </w:rPr>
        <w:t>a)</w:t>
      </w:r>
      <w:r w:rsidRPr="00F67DF0">
        <w:rPr>
          <w:rFonts w:ascii="Times New Roman" w:hAnsi="Times New Roman" w:cs="Times New Roman"/>
        </w:rPr>
        <w:tab/>
      </w:r>
      <w:r w:rsidRPr="00A37969">
        <w:rPr>
          <w:rFonts w:ascii="Times New Roman" w:hAnsi="Times New Roman" w:cs="Times New Roman"/>
          <w:u w:val="single"/>
        </w:rPr>
        <w:t xml:space="preserve">jsou klíčovými centry pro podporu výrobních kapacit technologií pro nulové čisté emise a jejich integraci do energetického systému a poskytují potenciál rozšíření, </w:t>
      </w:r>
      <w:proofErr w:type="spellStart"/>
      <w:r w:rsidRPr="00A37969">
        <w:rPr>
          <w:rFonts w:ascii="Times New Roman" w:hAnsi="Times New Roman" w:cs="Times New Roman"/>
          <w:u w:val="single"/>
        </w:rPr>
        <w:t>reindustrializace</w:t>
      </w:r>
      <w:proofErr w:type="spellEnd"/>
      <w:r w:rsidRPr="00A37969">
        <w:rPr>
          <w:rFonts w:ascii="Times New Roman" w:hAnsi="Times New Roman" w:cs="Times New Roman"/>
          <w:u w:val="single"/>
        </w:rPr>
        <w:t xml:space="preserve"> nebo vytvoření průmyslových klastrů, nebo</w:t>
      </w:r>
    </w:p>
    <w:p w14:paraId="124E07D6" w14:textId="7551F13B" w:rsidR="00F67DF0" w:rsidRPr="00F67DF0" w:rsidRDefault="00F67DF0" w:rsidP="00E0001D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67DF0">
        <w:rPr>
          <w:rFonts w:ascii="Times New Roman" w:hAnsi="Times New Roman" w:cs="Times New Roman"/>
        </w:rPr>
        <w:t>b)</w:t>
      </w:r>
      <w:r w:rsidRPr="00F67DF0">
        <w:rPr>
          <w:rFonts w:ascii="Times New Roman" w:hAnsi="Times New Roman" w:cs="Times New Roman"/>
        </w:rPr>
        <w:tab/>
      </w:r>
      <w:r w:rsidRPr="00A37969">
        <w:rPr>
          <w:rFonts w:ascii="Times New Roman" w:hAnsi="Times New Roman" w:cs="Times New Roman"/>
          <w:u w:val="single"/>
        </w:rPr>
        <w:t>významně přispívají k plnění cílů dekarbonizace průmyslových odvětví, regionální udržitelnosti a spravedlivé transformaci.</w:t>
      </w:r>
    </w:p>
    <w:p w14:paraId="568F541D" w14:textId="6E830430" w:rsidR="00F67DF0" w:rsidRPr="00F67DF0" w:rsidRDefault="00F67DF0" w:rsidP="00E0001D">
      <w:pPr>
        <w:tabs>
          <w:tab w:val="left" w:pos="1134"/>
        </w:tabs>
        <w:spacing w:after="120" w:line="360" w:lineRule="auto"/>
        <w:ind w:firstLine="567"/>
        <w:jc w:val="both"/>
        <w:rPr>
          <w:rFonts w:ascii="Times New Roman" w:hAnsi="Times New Roman" w:cs="Times New Roman"/>
        </w:rPr>
      </w:pPr>
      <w:r w:rsidRPr="00F67DF0">
        <w:rPr>
          <w:rFonts w:ascii="Times New Roman" w:hAnsi="Times New Roman" w:cs="Times New Roman"/>
        </w:rPr>
        <w:t>(2)</w:t>
      </w:r>
      <w:r w:rsidR="006D56ED">
        <w:rPr>
          <w:rFonts w:ascii="Times New Roman" w:hAnsi="Times New Roman" w:cs="Times New Roman"/>
        </w:rPr>
        <w:tab/>
      </w:r>
      <w:r w:rsidRPr="00F67DF0">
        <w:rPr>
          <w:rFonts w:ascii="Times New Roman" w:hAnsi="Times New Roman" w:cs="Times New Roman"/>
        </w:rPr>
        <w:t>Oblasti určené jako údolí stanoví vláda nařízením, kde stanoví hranice těchto oblastí a pro každou z nich uvede</w:t>
      </w:r>
    </w:p>
    <w:p w14:paraId="72A96327" w14:textId="7C72D8B6" w:rsidR="00F67DF0" w:rsidRPr="00F67DF0" w:rsidRDefault="00F67DF0" w:rsidP="00E0001D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67DF0">
        <w:rPr>
          <w:rFonts w:ascii="Times New Roman" w:hAnsi="Times New Roman" w:cs="Times New Roman"/>
        </w:rPr>
        <w:t>a)</w:t>
      </w:r>
      <w:r w:rsidRPr="00F67DF0">
        <w:rPr>
          <w:rFonts w:ascii="Times New Roman" w:hAnsi="Times New Roman" w:cs="Times New Roman"/>
        </w:rPr>
        <w:tab/>
      </w:r>
      <w:r w:rsidRPr="00A37969">
        <w:rPr>
          <w:rFonts w:ascii="Times New Roman" w:hAnsi="Times New Roman" w:cs="Times New Roman"/>
          <w:u w:val="single"/>
        </w:rPr>
        <w:t>název oblasti, její geografickou polohu včetně mapového zobrazení a její rozlohu</w:t>
      </w:r>
      <w:r w:rsidRPr="00F67DF0">
        <w:rPr>
          <w:rFonts w:ascii="Times New Roman" w:hAnsi="Times New Roman" w:cs="Times New Roman"/>
        </w:rPr>
        <w:t>,</w:t>
      </w:r>
    </w:p>
    <w:p w14:paraId="3047139B" w14:textId="5CF0A8BD" w:rsidR="00F67DF0" w:rsidRPr="00F67DF0" w:rsidRDefault="00F67DF0" w:rsidP="00E0001D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67DF0">
        <w:rPr>
          <w:rFonts w:ascii="Times New Roman" w:hAnsi="Times New Roman" w:cs="Times New Roman"/>
        </w:rPr>
        <w:t>b)</w:t>
      </w:r>
      <w:r w:rsidRPr="00F67DF0">
        <w:rPr>
          <w:rFonts w:ascii="Times New Roman" w:hAnsi="Times New Roman" w:cs="Times New Roman"/>
        </w:rPr>
        <w:tab/>
      </w:r>
      <w:r w:rsidRPr="00A37969">
        <w:rPr>
          <w:rFonts w:ascii="Times New Roman" w:hAnsi="Times New Roman" w:cs="Times New Roman"/>
          <w:u w:val="single"/>
        </w:rPr>
        <w:t>technologický rozsah oblasti</w:t>
      </w:r>
      <w:r w:rsidRPr="00F67DF0">
        <w:rPr>
          <w:rFonts w:ascii="Times New Roman" w:hAnsi="Times New Roman" w:cs="Times New Roman"/>
        </w:rPr>
        <w:t>,</w:t>
      </w:r>
    </w:p>
    <w:p w14:paraId="5E4E65BF" w14:textId="2C92CC21" w:rsidR="00F67DF0" w:rsidRPr="00F67DF0" w:rsidRDefault="00F67DF0" w:rsidP="00E0001D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67DF0">
        <w:rPr>
          <w:rFonts w:ascii="Times New Roman" w:hAnsi="Times New Roman" w:cs="Times New Roman"/>
        </w:rPr>
        <w:t>c)</w:t>
      </w:r>
      <w:r w:rsidRPr="00F67DF0">
        <w:rPr>
          <w:rFonts w:ascii="Times New Roman" w:hAnsi="Times New Roman" w:cs="Times New Roman"/>
        </w:rPr>
        <w:tab/>
      </w:r>
      <w:r w:rsidRPr="00A37969">
        <w:rPr>
          <w:rFonts w:ascii="Times New Roman" w:hAnsi="Times New Roman" w:cs="Times New Roman"/>
          <w:u w:val="single"/>
        </w:rPr>
        <w:t>konkrétní opatření ke zvýšení atraktivity oblasti jako místa pro výrobní činnosti</w:t>
      </w:r>
      <w:r w:rsidR="00A37969">
        <w:rPr>
          <w:rFonts w:ascii="Times New Roman" w:hAnsi="Times New Roman" w:cs="Times New Roman"/>
        </w:rPr>
        <w:t xml:space="preserve"> a</w:t>
      </w:r>
    </w:p>
    <w:p w14:paraId="063E7998" w14:textId="0F0CB394" w:rsidR="00F67DF0" w:rsidRPr="00F67DF0" w:rsidRDefault="00F67DF0" w:rsidP="00E0001D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67DF0">
        <w:rPr>
          <w:rFonts w:ascii="Times New Roman" w:hAnsi="Times New Roman" w:cs="Times New Roman"/>
        </w:rPr>
        <w:t>d)</w:t>
      </w:r>
      <w:r w:rsidRPr="00F67DF0">
        <w:rPr>
          <w:rFonts w:ascii="Times New Roman" w:hAnsi="Times New Roman" w:cs="Times New Roman"/>
        </w:rPr>
        <w:tab/>
      </w:r>
      <w:r w:rsidRPr="00A37969">
        <w:rPr>
          <w:rFonts w:ascii="Times New Roman" w:hAnsi="Times New Roman" w:cs="Times New Roman"/>
          <w:u w:val="single"/>
        </w:rPr>
        <w:t>strategické přínosy oblasti</w:t>
      </w:r>
      <w:r>
        <w:rPr>
          <w:rFonts w:ascii="Times New Roman" w:hAnsi="Times New Roman" w:cs="Times New Roman"/>
        </w:rPr>
        <w:t>.</w:t>
      </w:r>
    </w:p>
    <w:p w14:paraId="34B82234" w14:textId="2D8B083B" w:rsidR="00F67DF0" w:rsidRPr="00E0001D" w:rsidRDefault="00F67DF0" w:rsidP="00E0001D">
      <w:pPr>
        <w:tabs>
          <w:tab w:val="left" w:pos="1134"/>
        </w:tabs>
        <w:spacing w:after="120" w:line="360" w:lineRule="auto"/>
        <w:ind w:firstLine="567"/>
        <w:jc w:val="both"/>
        <w:rPr>
          <w:rFonts w:ascii="Times New Roman" w:hAnsi="Times New Roman" w:cs="Times New Roman"/>
        </w:rPr>
      </w:pPr>
      <w:r w:rsidRPr="00F67DF0">
        <w:rPr>
          <w:rFonts w:ascii="Times New Roman" w:hAnsi="Times New Roman" w:cs="Times New Roman"/>
        </w:rPr>
        <w:lastRenderedPageBreak/>
        <w:t>(3)</w:t>
      </w:r>
      <w:r w:rsidR="006D56ED">
        <w:rPr>
          <w:rFonts w:ascii="Times New Roman" w:hAnsi="Times New Roman" w:cs="Times New Roman"/>
        </w:rPr>
        <w:tab/>
      </w:r>
      <w:r w:rsidRPr="00A37969">
        <w:rPr>
          <w:rFonts w:ascii="Times New Roman" w:hAnsi="Times New Roman" w:cs="Times New Roman"/>
          <w:u w:val="single"/>
        </w:rPr>
        <w:t xml:space="preserve">Přijetí rozhodnutí o určení oblasti jako údolí může být učiněno pouze v případě, že byly splněny podmínky uvedené </w:t>
      </w:r>
      <w:r w:rsidRPr="00A02AE5">
        <w:rPr>
          <w:rFonts w:ascii="Times New Roman" w:hAnsi="Times New Roman" w:cs="Times New Roman"/>
          <w:u w:val="single"/>
        </w:rPr>
        <w:t>v</w:t>
      </w:r>
      <w:r w:rsidR="00FE1CDB" w:rsidRPr="00FE1CDB">
        <w:rPr>
          <w:rFonts w:ascii="Times New Roman" w:hAnsi="Times New Roman" w:cs="Times New Roman"/>
          <w:color w:val="auto"/>
          <w:u w:val="single"/>
        </w:rPr>
        <w:t xml:space="preserve"> </w:t>
      </w:r>
      <w:r w:rsidR="00FE1CDB" w:rsidRPr="00191CE7">
        <w:rPr>
          <w:rFonts w:ascii="Times New Roman" w:hAnsi="Times New Roman" w:cs="Times New Roman"/>
          <w:color w:val="auto"/>
          <w:u w:val="single"/>
        </w:rPr>
        <w:t>nařízení Evropského parlamentu a Rady (EU) 2024/1735</w:t>
      </w:r>
      <w:r w:rsidRPr="00F67DF0">
        <w:rPr>
          <w:rFonts w:ascii="Times New Roman" w:hAnsi="Times New Roman" w:cs="Times New Roman"/>
        </w:rPr>
        <w:t>.</w:t>
      </w:r>
    </w:p>
    <w:p w14:paraId="63C86510" w14:textId="75EF8202" w:rsidR="003E217E" w:rsidRPr="00880F6F" w:rsidRDefault="005D08C9" w:rsidP="00880F6F">
      <w:pPr>
        <w:spacing w:before="120" w:after="120" w:line="360" w:lineRule="auto"/>
        <w:rPr>
          <w:rFonts w:ascii="Times New Roman" w:hAnsi="Times New Roman" w:cs="Times New Roman"/>
          <w:i/>
          <w:iCs/>
        </w:rPr>
      </w:pPr>
      <w:r w:rsidRPr="00EF3B28">
        <w:rPr>
          <w:rFonts w:ascii="Times New Roman" w:hAnsi="Times New Roman" w:cs="Times New Roman"/>
          <w:i/>
          <w:iCs/>
        </w:rPr>
        <w:t>CELEX 32024R1735</w:t>
      </w:r>
    </w:p>
    <w:p w14:paraId="5A084468" w14:textId="0FA2FF0E" w:rsidR="00735409" w:rsidRPr="00191CE7" w:rsidRDefault="00735409" w:rsidP="00735409">
      <w:pPr>
        <w:spacing w:before="120" w:after="120" w:line="360" w:lineRule="auto"/>
        <w:jc w:val="center"/>
        <w:rPr>
          <w:rFonts w:ascii="Times New Roman" w:hAnsi="Times New Roman" w:cs="Times New Roman"/>
          <w:color w:val="auto"/>
        </w:rPr>
      </w:pPr>
      <w:r w:rsidRPr="00191CE7">
        <w:rPr>
          <w:rFonts w:ascii="Times New Roman" w:hAnsi="Times New Roman" w:cs="Times New Roman"/>
          <w:color w:val="auto"/>
        </w:rPr>
        <w:t xml:space="preserve">ČÁST </w:t>
      </w:r>
      <w:r w:rsidR="00E27EF4" w:rsidRPr="00191CE7">
        <w:rPr>
          <w:rFonts w:ascii="Times New Roman" w:hAnsi="Times New Roman" w:cs="Times New Roman"/>
          <w:color w:val="auto"/>
        </w:rPr>
        <w:t>ČTVRTÁ</w:t>
      </w:r>
    </w:p>
    <w:p w14:paraId="497F7890" w14:textId="1F7C7355" w:rsidR="00360AD4" w:rsidRPr="00191CE7" w:rsidRDefault="00360AD4" w:rsidP="00360AD4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191CE7">
        <w:rPr>
          <w:rFonts w:ascii="Times New Roman" w:hAnsi="Times New Roman" w:cs="Times New Roman"/>
          <w:b/>
          <w:bCs/>
          <w:color w:val="auto"/>
        </w:rPr>
        <w:t xml:space="preserve">Změna stavebního zákona </w:t>
      </w:r>
    </w:p>
    <w:p w14:paraId="1AE4F31D" w14:textId="005B78ED" w:rsidR="00735409" w:rsidRPr="007111FF" w:rsidRDefault="00735409" w:rsidP="00735409">
      <w:pPr>
        <w:jc w:val="center"/>
        <w:rPr>
          <w:rFonts w:ascii="Times New Roman" w:hAnsi="Times New Roman" w:cs="Times New Roman"/>
          <w:color w:val="auto"/>
        </w:rPr>
      </w:pPr>
      <w:r w:rsidRPr="007111FF">
        <w:rPr>
          <w:rFonts w:ascii="Times New Roman" w:hAnsi="Times New Roman" w:cs="Times New Roman"/>
          <w:color w:val="auto"/>
        </w:rPr>
        <w:t xml:space="preserve">§ </w:t>
      </w:r>
      <w:r w:rsidR="006D56ED">
        <w:rPr>
          <w:rFonts w:ascii="Times New Roman" w:hAnsi="Times New Roman" w:cs="Times New Roman"/>
          <w:color w:val="auto"/>
        </w:rPr>
        <w:t>12</w:t>
      </w:r>
    </w:p>
    <w:p w14:paraId="046140F3" w14:textId="25AAAD0C" w:rsidR="00735409" w:rsidRPr="00191CE7" w:rsidRDefault="0017245E" w:rsidP="00191CE7">
      <w:pPr>
        <w:spacing w:before="120" w:after="120" w:line="360" w:lineRule="auto"/>
        <w:ind w:firstLine="567"/>
        <w:jc w:val="both"/>
        <w:rPr>
          <w:rFonts w:ascii="Times New Roman" w:hAnsi="Times New Roman" w:cs="Times New Roman"/>
          <w:color w:val="auto"/>
        </w:rPr>
      </w:pPr>
      <w:r w:rsidRPr="00191CE7">
        <w:rPr>
          <w:rFonts w:ascii="Times New Roman" w:hAnsi="Times New Roman" w:cs="Times New Roman"/>
          <w:color w:val="auto"/>
        </w:rPr>
        <w:t xml:space="preserve">V § 34 </w:t>
      </w:r>
      <w:bookmarkStart w:id="14" w:name="_Hlk189040825"/>
      <w:r w:rsidRPr="00191CE7">
        <w:rPr>
          <w:rFonts w:ascii="Times New Roman" w:hAnsi="Times New Roman" w:cs="Times New Roman"/>
          <w:color w:val="auto"/>
        </w:rPr>
        <w:t>z</w:t>
      </w:r>
      <w:r w:rsidR="00735409" w:rsidRPr="00191CE7">
        <w:rPr>
          <w:rFonts w:ascii="Times New Roman" w:hAnsi="Times New Roman" w:cs="Times New Roman"/>
          <w:color w:val="auto"/>
        </w:rPr>
        <w:t>ákon</w:t>
      </w:r>
      <w:r w:rsidRPr="00191CE7">
        <w:rPr>
          <w:rFonts w:ascii="Times New Roman" w:hAnsi="Times New Roman" w:cs="Times New Roman"/>
          <w:color w:val="auto"/>
        </w:rPr>
        <w:t>a</w:t>
      </w:r>
      <w:r w:rsidR="00735409" w:rsidRPr="00191CE7">
        <w:rPr>
          <w:rFonts w:ascii="Times New Roman" w:hAnsi="Times New Roman" w:cs="Times New Roman"/>
          <w:color w:val="auto"/>
        </w:rPr>
        <w:t xml:space="preserve"> č. 283/2021 Sb., stavební zákon, ve znění</w:t>
      </w:r>
      <w:bookmarkEnd w:id="14"/>
      <w:r w:rsidR="00735409" w:rsidRPr="00191CE7">
        <w:rPr>
          <w:rFonts w:ascii="Times New Roman" w:hAnsi="Times New Roman" w:cs="Times New Roman"/>
          <w:color w:val="auto"/>
        </w:rPr>
        <w:t xml:space="preserve"> zákona</w:t>
      </w:r>
      <w:r w:rsidR="004E4EB8" w:rsidRPr="00191CE7">
        <w:rPr>
          <w:rFonts w:ascii="Times New Roman" w:hAnsi="Times New Roman" w:cs="Times New Roman"/>
          <w:color w:val="auto"/>
        </w:rPr>
        <w:t xml:space="preserve"> č. 283/2021 Sb., zákona č. č. 195/2022 Sb., zákona č. 152/2023 Sb.</w:t>
      </w:r>
      <w:r w:rsidR="00191CE7" w:rsidRPr="00191CE7">
        <w:rPr>
          <w:rFonts w:ascii="Times New Roman" w:hAnsi="Times New Roman" w:cs="Times New Roman"/>
          <w:color w:val="auto"/>
        </w:rPr>
        <w:t xml:space="preserve"> a</w:t>
      </w:r>
      <w:r w:rsidR="004E4EB8" w:rsidRPr="00191CE7">
        <w:rPr>
          <w:rFonts w:ascii="Times New Roman" w:hAnsi="Times New Roman" w:cs="Times New Roman"/>
          <w:color w:val="auto"/>
        </w:rPr>
        <w:t xml:space="preserve"> zákona č. 465/2023 Sb.</w:t>
      </w:r>
      <w:r w:rsidR="00191CE7" w:rsidRPr="00191CE7">
        <w:rPr>
          <w:rFonts w:ascii="Times New Roman" w:hAnsi="Times New Roman" w:cs="Times New Roman"/>
          <w:color w:val="auto"/>
        </w:rPr>
        <w:t xml:space="preserve">, </w:t>
      </w:r>
      <w:r w:rsidR="00735409" w:rsidRPr="00191CE7">
        <w:rPr>
          <w:rFonts w:ascii="Times New Roman" w:hAnsi="Times New Roman" w:cs="Times New Roman"/>
          <w:color w:val="auto"/>
        </w:rPr>
        <w:t xml:space="preserve">se </w:t>
      </w:r>
      <w:r w:rsidR="00133597" w:rsidRPr="00133597">
        <w:rPr>
          <w:rFonts w:ascii="Times New Roman" w:hAnsi="Times New Roman" w:cs="Times New Roman"/>
          <w:color w:val="auto"/>
        </w:rPr>
        <w:t>na kon</w:t>
      </w:r>
      <w:r w:rsidR="00133597">
        <w:rPr>
          <w:rFonts w:ascii="Times New Roman" w:hAnsi="Times New Roman" w:cs="Times New Roman"/>
          <w:color w:val="auto"/>
        </w:rPr>
        <w:t xml:space="preserve">ec písmene a) vkládá nový bod 11, </w:t>
      </w:r>
      <w:r w:rsidR="00735409" w:rsidRPr="00191CE7">
        <w:rPr>
          <w:rFonts w:ascii="Times New Roman" w:hAnsi="Times New Roman" w:cs="Times New Roman"/>
          <w:color w:val="auto"/>
        </w:rPr>
        <w:t>kter</w:t>
      </w:r>
      <w:r w:rsidR="00133597">
        <w:rPr>
          <w:rFonts w:ascii="Times New Roman" w:hAnsi="Times New Roman" w:cs="Times New Roman"/>
          <w:color w:val="auto"/>
        </w:rPr>
        <w:t>ý</w:t>
      </w:r>
      <w:r w:rsidR="00735409" w:rsidRPr="00191CE7">
        <w:rPr>
          <w:rFonts w:ascii="Times New Roman" w:hAnsi="Times New Roman" w:cs="Times New Roman"/>
          <w:color w:val="auto"/>
        </w:rPr>
        <w:t xml:space="preserve"> zní: </w:t>
      </w:r>
    </w:p>
    <w:p w14:paraId="6C91D058" w14:textId="6FEB504C" w:rsidR="00735409" w:rsidRPr="00191CE7" w:rsidRDefault="00735409" w:rsidP="004B2E25">
      <w:pPr>
        <w:tabs>
          <w:tab w:val="left" w:pos="567"/>
        </w:tabs>
        <w:spacing w:before="120" w:after="120" w:line="360" w:lineRule="auto"/>
        <w:jc w:val="both"/>
        <w:rPr>
          <w:rFonts w:ascii="Times New Roman" w:hAnsi="Times New Roman" w:cs="Times New Roman"/>
          <w:color w:val="auto"/>
        </w:rPr>
      </w:pPr>
      <w:r w:rsidRPr="00191CE7">
        <w:rPr>
          <w:rFonts w:ascii="Times New Roman" w:hAnsi="Times New Roman" w:cs="Times New Roman"/>
          <w:color w:val="auto"/>
        </w:rPr>
        <w:t>„</w:t>
      </w:r>
      <w:bookmarkStart w:id="15" w:name="_Hlk189041134"/>
      <w:r w:rsidR="00133597">
        <w:rPr>
          <w:rFonts w:ascii="Times New Roman" w:hAnsi="Times New Roman" w:cs="Times New Roman"/>
          <w:color w:val="auto"/>
          <w:u w:val="single"/>
        </w:rPr>
        <w:t>11.</w:t>
      </w:r>
      <w:r w:rsidR="004B2E25">
        <w:rPr>
          <w:rFonts w:ascii="Times New Roman" w:hAnsi="Times New Roman" w:cs="Times New Roman"/>
          <w:color w:val="auto"/>
          <w:u w:val="single"/>
        </w:rPr>
        <w:tab/>
      </w:r>
      <w:bookmarkEnd w:id="15"/>
      <w:r w:rsidR="00133597" w:rsidRPr="00133597">
        <w:rPr>
          <w:rFonts w:ascii="Times New Roman" w:hAnsi="Times New Roman" w:cs="Times New Roman"/>
          <w:color w:val="auto"/>
          <w:u w:val="single"/>
        </w:rPr>
        <w:t>ve věcech staveb, ve kterých mají být uskutečňovány činnosti výrob technologií a komponent pro nulové čisté emise uvedené v příloze I k nařízení Evropského parlamentu a Rady (EU) 2024/1735 a staveb energeticky náročného zařízení nebo jejich změn z odvětví výroby oceli, hliníku, neželezných kovů, chemických látek, cementu, vápna, skla, keramiky, hnojiv, jakož i celulózy a papíru, které jsou součástí dodavatelského řetězce technologie pro nulové čisté emise a které mají výrazně a trvale snížit míry emisí ekvivalentu oxidu uhličitého z průmyslových procesů</w:t>
      </w:r>
      <w:r w:rsidR="00ED0D49">
        <w:rPr>
          <w:rFonts w:ascii="Times New Roman" w:hAnsi="Times New Roman" w:cs="Times New Roman"/>
          <w:color w:val="auto"/>
          <w:u w:val="single"/>
        </w:rPr>
        <w:t>,</w:t>
      </w:r>
      <w:bookmarkStart w:id="16" w:name="_GoBack"/>
      <w:bookmarkEnd w:id="16"/>
      <w:r w:rsidR="00941F05" w:rsidRPr="00191CE7">
        <w:rPr>
          <w:rFonts w:ascii="Times New Roman" w:hAnsi="Times New Roman" w:cs="Times New Roman"/>
          <w:color w:val="auto"/>
        </w:rPr>
        <w:t>“.</w:t>
      </w:r>
    </w:p>
    <w:p w14:paraId="43212454" w14:textId="4C60F1E5" w:rsidR="00735409" w:rsidRPr="00191CE7" w:rsidRDefault="0017245E" w:rsidP="00E27EF4">
      <w:pPr>
        <w:spacing w:before="120" w:after="120" w:line="360" w:lineRule="auto"/>
        <w:rPr>
          <w:rFonts w:ascii="Times New Roman" w:hAnsi="Times New Roman" w:cs="Times New Roman"/>
          <w:i/>
          <w:iCs/>
        </w:rPr>
      </w:pPr>
      <w:r w:rsidRPr="00EF3B28">
        <w:rPr>
          <w:rFonts w:ascii="Times New Roman" w:hAnsi="Times New Roman" w:cs="Times New Roman"/>
          <w:i/>
          <w:iCs/>
        </w:rPr>
        <w:t>CELEX 32024R1735</w:t>
      </w:r>
    </w:p>
    <w:p w14:paraId="30FB4D4B" w14:textId="77777777" w:rsidR="00191CE7" w:rsidRPr="00D71519" w:rsidRDefault="00191CE7" w:rsidP="00E27EF4">
      <w:pPr>
        <w:spacing w:before="120" w:after="120" w:line="360" w:lineRule="auto"/>
        <w:rPr>
          <w:rFonts w:ascii="Times New Roman" w:hAnsi="Times New Roman" w:cs="Times New Roman"/>
          <w:b/>
          <w:bCs/>
          <w:color w:val="FF0000"/>
        </w:rPr>
      </w:pPr>
    </w:p>
    <w:p w14:paraId="48D72677" w14:textId="015F9E75" w:rsidR="000F5B89" w:rsidRPr="00191CE7" w:rsidRDefault="000F5B89" w:rsidP="000F5B89">
      <w:pPr>
        <w:spacing w:before="120" w:after="120"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ČÁST </w:t>
      </w:r>
      <w:r w:rsidR="00E27EF4" w:rsidRPr="00191CE7">
        <w:rPr>
          <w:rFonts w:ascii="Times New Roman" w:hAnsi="Times New Roman" w:cs="Times New Roman"/>
          <w:color w:val="auto"/>
        </w:rPr>
        <w:t>PÁTÁ</w:t>
      </w:r>
    </w:p>
    <w:p w14:paraId="68786806" w14:textId="5EE85087" w:rsidR="000F5B89" w:rsidRPr="00191CE7" w:rsidRDefault="000F5B89" w:rsidP="000F5B89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191CE7">
        <w:rPr>
          <w:rFonts w:ascii="Times New Roman" w:hAnsi="Times New Roman" w:cs="Times New Roman"/>
          <w:b/>
          <w:bCs/>
          <w:color w:val="auto"/>
        </w:rPr>
        <w:t>ÚČINNOST</w:t>
      </w:r>
    </w:p>
    <w:p w14:paraId="292AAAE7" w14:textId="503AB965" w:rsidR="007B4DBA" w:rsidRPr="007111FF" w:rsidRDefault="007B4DBA" w:rsidP="00824A9E">
      <w:pPr>
        <w:spacing w:before="120" w:after="120" w:line="360" w:lineRule="auto"/>
        <w:jc w:val="center"/>
        <w:rPr>
          <w:rFonts w:ascii="Times New Roman" w:hAnsi="Times New Roman" w:cs="Times New Roman"/>
          <w:color w:val="auto"/>
        </w:rPr>
      </w:pPr>
      <w:r w:rsidRPr="007111FF">
        <w:rPr>
          <w:rFonts w:ascii="Times New Roman" w:hAnsi="Times New Roman" w:cs="Times New Roman"/>
          <w:color w:val="auto"/>
        </w:rPr>
        <w:t xml:space="preserve">§ </w:t>
      </w:r>
      <w:r w:rsidR="006D56ED">
        <w:rPr>
          <w:rFonts w:ascii="Times New Roman" w:hAnsi="Times New Roman" w:cs="Times New Roman"/>
          <w:color w:val="auto"/>
        </w:rPr>
        <w:t>13</w:t>
      </w:r>
    </w:p>
    <w:p w14:paraId="2CFCF134" w14:textId="77777777" w:rsidR="007B4DBA" w:rsidRPr="00824A9E" w:rsidRDefault="007B4DBA" w:rsidP="00824A9E">
      <w:pPr>
        <w:spacing w:before="120" w:after="120" w:line="360" w:lineRule="auto"/>
        <w:ind w:firstLine="567"/>
        <w:jc w:val="both"/>
        <w:rPr>
          <w:rFonts w:ascii="Times New Roman" w:hAnsi="Times New Roman" w:cs="Times New Roman"/>
        </w:rPr>
      </w:pPr>
      <w:r w:rsidRPr="00824A9E">
        <w:rPr>
          <w:rFonts w:ascii="Times New Roman" w:hAnsi="Times New Roman" w:cs="Times New Roman"/>
        </w:rPr>
        <w:t>Tento zákon nabývá účinnosti dnem následujícím po dni jeho vyhlášení.</w:t>
      </w:r>
    </w:p>
    <w:p w14:paraId="70AC2221" w14:textId="77777777" w:rsidR="007B4DBA" w:rsidRPr="00824A9E" w:rsidRDefault="007B4DBA" w:rsidP="00824A9E">
      <w:pPr>
        <w:spacing w:before="120" w:after="120" w:line="360" w:lineRule="auto"/>
        <w:rPr>
          <w:rFonts w:ascii="Times New Roman" w:hAnsi="Times New Roman" w:cs="Times New Roman"/>
        </w:rPr>
      </w:pPr>
    </w:p>
    <w:sectPr w:rsidR="007B4DBA" w:rsidRPr="00824A9E" w:rsidSect="00CC5E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C5EF0" w14:textId="77777777" w:rsidR="00C005DD" w:rsidRDefault="00C005DD" w:rsidP="00677FE0">
      <w:pPr>
        <w:spacing w:after="0" w:line="240" w:lineRule="auto"/>
      </w:pPr>
      <w:r>
        <w:separator/>
      </w:r>
    </w:p>
  </w:endnote>
  <w:endnote w:type="continuationSeparator" w:id="0">
    <w:p w14:paraId="680AFBCD" w14:textId="77777777" w:rsidR="00C005DD" w:rsidRDefault="00C005DD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B46D2" w14:textId="77777777" w:rsidR="00A7117E" w:rsidRDefault="00A711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175659"/>
      <w:docPartObj>
        <w:docPartGallery w:val="Page Numbers (Bottom of Page)"/>
        <w:docPartUnique/>
      </w:docPartObj>
    </w:sdtPr>
    <w:sdtEndPr/>
    <w:sdtContent>
      <w:p w14:paraId="59930A58" w14:textId="27C40A21" w:rsidR="00CF0384" w:rsidRDefault="00CF038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59F">
          <w:rPr>
            <w:noProof/>
          </w:rPr>
          <w:t>6</w:t>
        </w:r>
        <w:r>
          <w:fldChar w:fldCharType="end"/>
        </w:r>
      </w:p>
    </w:sdtContent>
  </w:sdt>
  <w:p w14:paraId="205F7FDA" w14:textId="77777777"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B86D" w14:textId="77777777" w:rsidR="00A7117E" w:rsidRDefault="00A711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30835" w14:textId="77777777" w:rsidR="00C005DD" w:rsidRDefault="00C005DD" w:rsidP="00677FE0">
      <w:pPr>
        <w:spacing w:after="0" w:line="240" w:lineRule="auto"/>
      </w:pPr>
      <w:r>
        <w:separator/>
      </w:r>
    </w:p>
  </w:footnote>
  <w:footnote w:type="continuationSeparator" w:id="0">
    <w:p w14:paraId="2529AD75" w14:textId="77777777" w:rsidR="00C005DD" w:rsidRDefault="00C005DD" w:rsidP="00677FE0">
      <w:pPr>
        <w:spacing w:after="0" w:line="240" w:lineRule="auto"/>
      </w:pPr>
      <w:r>
        <w:continuationSeparator/>
      </w:r>
    </w:p>
  </w:footnote>
  <w:footnote w:id="1">
    <w:p w14:paraId="58509D8A" w14:textId="3F5A57D3" w:rsidR="007B4DBA" w:rsidRPr="003373ED" w:rsidRDefault="007B4DBA" w:rsidP="003373ED">
      <w:pPr>
        <w:pStyle w:val="Textpoznpodarou"/>
        <w:jc w:val="both"/>
        <w:rPr>
          <w:rFonts w:ascii="Times New Roman" w:hAnsi="Times New Roman" w:cs="Times New Roman"/>
        </w:rPr>
      </w:pPr>
      <w:r w:rsidRPr="003373ED">
        <w:rPr>
          <w:rStyle w:val="Znakapoznpodarou"/>
          <w:rFonts w:ascii="Times New Roman" w:hAnsi="Times New Roman" w:cs="Times New Roman"/>
        </w:rPr>
        <w:footnoteRef/>
      </w:r>
      <w:r w:rsidRPr="003373ED">
        <w:rPr>
          <w:rFonts w:ascii="Times New Roman" w:hAnsi="Times New Roman" w:cs="Times New Roman"/>
          <w:vertAlign w:val="superscript"/>
        </w:rPr>
        <w:t xml:space="preserve">) </w:t>
      </w:r>
      <w:r w:rsidRPr="003373ED">
        <w:rPr>
          <w:rFonts w:ascii="Times New Roman" w:hAnsi="Times New Roman" w:cs="Times New Roman"/>
        </w:rPr>
        <w:t>Nařízení Evropského parlamentu a Rady (EU) 2024/1735, kterým se zřizuje rámec opatření pro posílení evropského ekosystému výroby technologií pro nulové čisté emise a mění nařízení (EU) 2018/1724.</w:t>
      </w:r>
    </w:p>
  </w:footnote>
  <w:footnote w:id="2">
    <w:p w14:paraId="20EAA204" w14:textId="1F1C3776" w:rsidR="00927CF3" w:rsidRPr="00DD7B65" w:rsidRDefault="00927CF3">
      <w:pPr>
        <w:pStyle w:val="Textpoznpodarou"/>
        <w:rPr>
          <w:rFonts w:ascii="Times New Roman" w:hAnsi="Times New Roman" w:cs="Times New Roman"/>
        </w:rPr>
      </w:pPr>
      <w:r w:rsidRPr="00DD7B65">
        <w:rPr>
          <w:rStyle w:val="Znakapoznpodarou"/>
          <w:rFonts w:ascii="Times New Roman" w:hAnsi="Times New Roman" w:cs="Times New Roman"/>
        </w:rPr>
        <w:footnoteRef/>
      </w:r>
      <w:r w:rsidR="00DD7B65">
        <w:rPr>
          <w:rFonts w:ascii="Times New Roman" w:hAnsi="Times New Roman" w:cs="Times New Roman"/>
          <w:vertAlign w:val="superscript"/>
        </w:rPr>
        <w:t>)</w:t>
      </w:r>
      <w:r w:rsidRPr="00DD7B65">
        <w:rPr>
          <w:rFonts w:ascii="Times New Roman" w:hAnsi="Times New Roman" w:cs="Times New Roman"/>
        </w:rPr>
        <w:t xml:space="preserve"> </w:t>
      </w:r>
      <w:r w:rsidR="00DD7B65">
        <w:rPr>
          <w:rFonts w:ascii="Times New Roman" w:hAnsi="Times New Roman" w:cs="Times New Roman"/>
        </w:rPr>
        <w:t>Z</w:t>
      </w:r>
      <w:r w:rsidR="00DD7B65" w:rsidRPr="00DD7B65">
        <w:rPr>
          <w:rFonts w:ascii="Times New Roman" w:hAnsi="Times New Roman" w:cs="Times New Roman"/>
        </w:rPr>
        <w:t xml:space="preserve">ákon </w:t>
      </w:r>
      <w:r w:rsidRPr="00DD7B65">
        <w:rPr>
          <w:rFonts w:ascii="Times New Roman" w:hAnsi="Times New Roman" w:cs="Times New Roman"/>
        </w:rPr>
        <w:t>č. 283/</w:t>
      </w:r>
      <w:r w:rsidR="002A1E51" w:rsidRPr="00DD7B65">
        <w:rPr>
          <w:rFonts w:ascii="Times New Roman" w:hAnsi="Times New Roman" w:cs="Times New Roman"/>
        </w:rPr>
        <w:t>2021 Sb., stavební zákon, ve znění pozdějších předpisů.</w:t>
      </w:r>
    </w:p>
  </w:footnote>
  <w:footnote w:id="3">
    <w:p w14:paraId="4DAC0D64" w14:textId="0A2E4E50" w:rsidR="009C712C" w:rsidRPr="007111FF" w:rsidRDefault="009C712C">
      <w:pPr>
        <w:pStyle w:val="Textpoznpodarou"/>
        <w:rPr>
          <w:rFonts w:ascii="Times New Roman" w:hAnsi="Times New Roman" w:cs="Times New Roman"/>
        </w:rPr>
      </w:pPr>
      <w:r w:rsidRPr="00DD7B65">
        <w:rPr>
          <w:rStyle w:val="Znakapoznpodarou"/>
          <w:rFonts w:ascii="Times New Roman" w:hAnsi="Times New Roman" w:cs="Times New Roman"/>
        </w:rPr>
        <w:footnoteRef/>
      </w:r>
      <w:r w:rsidRPr="00DD7B65">
        <w:rPr>
          <w:rFonts w:ascii="Times New Roman" w:hAnsi="Times New Roman" w:cs="Times New Roman"/>
          <w:vertAlign w:val="superscript"/>
        </w:rPr>
        <w:t>)</w:t>
      </w:r>
      <w:r w:rsidRPr="007111FF">
        <w:rPr>
          <w:rFonts w:ascii="Times New Roman" w:hAnsi="Times New Roman" w:cs="Times New Roman"/>
        </w:rPr>
        <w:t xml:space="preserve"> § 4 </w:t>
      </w:r>
      <w:r w:rsidR="00F43CED">
        <w:rPr>
          <w:rFonts w:ascii="Times New Roman" w:hAnsi="Times New Roman" w:cs="Times New Roman"/>
        </w:rPr>
        <w:t xml:space="preserve">odst. 1 </w:t>
      </w:r>
      <w:r w:rsidRPr="007111FF">
        <w:rPr>
          <w:rFonts w:ascii="Times New Roman" w:hAnsi="Times New Roman" w:cs="Times New Roman"/>
        </w:rPr>
        <w:t>zákona č. 134/2016 Sb., o zadávání veřejných zakázek, ve znění zákona č. 166/2023 Sb.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3F387" w14:textId="4AB99948" w:rsidR="00955BB1" w:rsidRDefault="00955B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D4477" w14:textId="4D3A2D88" w:rsidR="00955BB1" w:rsidRDefault="00955BB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D7D5A" w14:textId="1BB35B13" w:rsidR="00955BB1" w:rsidRDefault="00955B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C5C"/>
    <w:multiLevelType w:val="hybridMultilevel"/>
    <w:tmpl w:val="22F0BAF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2" w15:restartNumberingAfterBreak="0">
    <w:nsid w:val="0A7A2ED4"/>
    <w:multiLevelType w:val="hybridMultilevel"/>
    <w:tmpl w:val="0082E354"/>
    <w:lvl w:ilvl="0" w:tplc="5D66A9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835FD"/>
    <w:multiLevelType w:val="hybridMultilevel"/>
    <w:tmpl w:val="F6721B8A"/>
    <w:lvl w:ilvl="0" w:tplc="60BC86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16F8"/>
    <w:multiLevelType w:val="multilevel"/>
    <w:tmpl w:val="3320A8B2"/>
    <w:numStyleLink w:val="VariantaB-odrky"/>
  </w:abstractNum>
  <w:abstractNum w:abstractNumId="5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6" w15:restartNumberingAfterBreak="0">
    <w:nsid w:val="191872DA"/>
    <w:multiLevelType w:val="multilevel"/>
    <w:tmpl w:val="E8A48D7C"/>
    <w:numStyleLink w:val="VariantaA-sla"/>
  </w:abstractNum>
  <w:abstractNum w:abstractNumId="7" w15:restartNumberingAfterBreak="0">
    <w:nsid w:val="289A5EA2"/>
    <w:multiLevelType w:val="multilevel"/>
    <w:tmpl w:val="E8BAE50A"/>
    <w:numStyleLink w:val="VariantaA-odrky"/>
  </w:abstractNum>
  <w:abstractNum w:abstractNumId="8" w15:restartNumberingAfterBreak="0">
    <w:nsid w:val="2BE475C7"/>
    <w:multiLevelType w:val="hybridMultilevel"/>
    <w:tmpl w:val="7696CD2A"/>
    <w:lvl w:ilvl="0" w:tplc="C1F8F9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52394E"/>
    <w:multiLevelType w:val="hybridMultilevel"/>
    <w:tmpl w:val="490CBD1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13320B8"/>
    <w:multiLevelType w:val="hybridMultilevel"/>
    <w:tmpl w:val="B58C2F74"/>
    <w:lvl w:ilvl="0" w:tplc="6CE610F8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2105B"/>
    <w:multiLevelType w:val="hybridMultilevel"/>
    <w:tmpl w:val="DFFA1C46"/>
    <w:lvl w:ilvl="0" w:tplc="F5FA39D4">
      <w:start w:val="1"/>
      <w:numFmt w:val="decimal"/>
      <w:lvlText w:val="(%1)"/>
      <w:lvlJc w:val="left"/>
      <w:pPr>
        <w:ind w:left="1065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BFD2909"/>
    <w:multiLevelType w:val="hybridMultilevel"/>
    <w:tmpl w:val="DD6E4B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1107C"/>
    <w:multiLevelType w:val="hybridMultilevel"/>
    <w:tmpl w:val="0082E354"/>
    <w:lvl w:ilvl="0" w:tplc="5D66A9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3937082"/>
    <w:multiLevelType w:val="hybridMultilevel"/>
    <w:tmpl w:val="3512611C"/>
    <w:lvl w:ilvl="0" w:tplc="00B211E8">
      <w:start w:val="1"/>
      <w:numFmt w:val="decimal"/>
      <w:lvlText w:val="(%1)"/>
      <w:lvlJc w:val="left"/>
      <w:pPr>
        <w:ind w:left="1065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7" w15:restartNumberingAfterBreak="0">
    <w:nsid w:val="5AF35F43"/>
    <w:multiLevelType w:val="multilevel"/>
    <w:tmpl w:val="0D8ABE32"/>
    <w:numStyleLink w:val="VariantaB-sla"/>
  </w:abstractNum>
  <w:abstractNum w:abstractNumId="18" w15:restartNumberingAfterBreak="0">
    <w:nsid w:val="5C7A0C67"/>
    <w:multiLevelType w:val="hybridMultilevel"/>
    <w:tmpl w:val="3358278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FA2030A"/>
    <w:multiLevelType w:val="hybridMultilevel"/>
    <w:tmpl w:val="7696CD2A"/>
    <w:lvl w:ilvl="0" w:tplc="C1F8F9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FB1675F"/>
    <w:multiLevelType w:val="hybridMultilevel"/>
    <w:tmpl w:val="D6EA6E4E"/>
    <w:lvl w:ilvl="0" w:tplc="265AD710">
      <w:start w:val="1"/>
      <w:numFmt w:val="decimal"/>
      <w:lvlText w:val="(%1)"/>
      <w:lvlJc w:val="left"/>
      <w:pPr>
        <w:ind w:left="1287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003249C"/>
    <w:multiLevelType w:val="hybridMultilevel"/>
    <w:tmpl w:val="65665B94"/>
    <w:lvl w:ilvl="0" w:tplc="5D66A9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A5716"/>
    <w:multiLevelType w:val="hybridMultilevel"/>
    <w:tmpl w:val="0082E354"/>
    <w:lvl w:ilvl="0" w:tplc="5D66A9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F1A1F"/>
    <w:multiLevelType w:val="multilevel"/>
    <w:tmpl w:val="0C5EE780"/>
    <w:lvl w:ilvl="0">
      <w:start w:val="1"/>
      <w:numFmt w:val="decimal"/>
      <w:isLgl/>
      <w:lvlText w:val="(%1)"/>
      <w:lvlJc w:val="left"/>
      <w:pPr>
        <w:tabs>
          <w:tab w:val="num" w:pos="925"/>
        </w:tabs>
        <w:ind w:left="143" w:firstLine="425"/>
      </w:pPr>
      <w:rPr>
        <w:i w:val="0"/>
        <w:iCs/>
        <w:strike w:val="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i w:val="0"/>
        <w:iCs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928"/>
        </w:tabs>
        <w:ind w:left="928" w:hanging="360"/>
      </w:pPr>
      <w:rPr>
        <w:i w:val="0"/>
        <w:i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6B3E65FA"/>
    <w:multiLevelType w:val="hybridMultilevel"/>
    <w:tmpl w:val="3358278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3747FC2"/>
    <w:multiLevelType w:val="hybridMultilevel"/>
    <w:tmpl w:val="54C685DC"/>
    <w:lvl w:ilvl="0" w:tplc="8E7A71C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576124B"/>
    <w:multiLevelType w:val="hybridMultilevel"/>
    <w:tmpl w:val="9008E8EE"/>
    <w:lvl w:ilvl="0" w:tplc="8F30A814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96D2AF2"/>
    <w:multiLevelType w:val="hybridMultilevel"/>
    <w:tmpl w:val="54C685DC"/>
    <w:lvl w:ilvl="0" w:tplc="8E7A71C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9AB64B9"/>
    <w:multiLevelType w:val="hybridMultilevel"/>
    <w:tmpl w:val="DC704EB0"/>
    <w:lvl w:ilvl="0" w:tplc="265AD710">
      <w:start w:val="1"/>
      <w:numFmt w:val="decimal"/>
      <w:lvlText w:val="(%1)"/>
      <w:lvlJc w:val="left"/>
      <w:pPr>
        <w:ind w:left="2265" w:hanging="705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9" w15:restartNumberingAfterBreak="0">
    <w:nsid w:val="7B8156B2"/>
    <w:multiLevelType w:val="hybridMultilevel"/>
    <w:tmpl w:val="DC704EB0"/>
    <w:lvl w:ilvl="0" w:tplc="265AD710">
      <w:start w:val="1"/>
      <w:numFmt w:val="decimal"/>
      <w:lvlText w:val="(%1)"/>
      <w:lvlJc w:val="left"/>
      <w:pPr>
        <w:ind w:left="2265" w:hanging="705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 w15:restartNumberingAfterBreak="0">
    <w:nsid w:val="7BE856A3"/>
    <w:multiLevelType w:val="hybridMultilevel"/>
    <w:tmpl w:val="50100B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1"/>
  </w:num>
  <w:num w:numId="5">
    <w:abstractNumId w:val="17"/>
  </w:num>
  <w:num w:numId="6">
    <w:abstractNumId w:val="7"/>
  </w:num>
  <w:num w:numId="7">
    <w:abstractNumId w:val="6"/>
  </w:num>
  <w:num w:numId="8">
    <w:abstractNumId w:val="4"/>
  </w:num>
  <w:num w:numId="9">
    <w:abstractNumId w:val="0"/>
  </w:num>
  <w:num w:numId="10">
    <w:abstractNumId w:val="23"/>
  </w:num>
  <w:num w:numId="11">
    <w:abstractNumId w:val="21"/>
  </w:num>
  <w:num w:numId="12">
    <w:abstractNumId w:val="26"/>
  </w:num>
  <w:num w:numId="13">
    <w:abstractNumId w:val="22"/>
  </w:num>
  <w:num w:numId="14">
    <w:abstractNumId w:val="3"/>
  </w:num>
  <w:num w:numId="15">
    <w:abstractNumId w:val="30"/>
  </w:num>
  <w:num w:numId="16">
    <w:abstractNumId w:val="2"/>
  </w:num>
  <w:num w:numId="17">
    <w:abstractNumId w:val="12"/>
  </w:num>
  <w:num w:numId="18">
    <w:abstractNumId w:val="15"/>
  </w:num>
  <w:num w:numId="19">
    <w:abstractNumId w:val="27"/>
  </w:num>
  <w:num w:numId="20">
    <w:abstractNumId w:val="25"/>
  </w:num>
  <w:num w:numId="21">
    <w:abstractNumId w:val="24"/>
  </w:num>
  <w:num w:numId="22">
    <w:abstractNumId w:val="18"/>
  </w:num>
  <w:num w:numId="23">
    <w:abstractNumId w:val="13"/>
  </w:num>
  <w:num w:numId="24">
    <w:abstractNumId w:val="28"/>
  </w:num>
  <w:num w:numId="25">
    <w:abstractNumId w:val="29"/>
  </w:num>
  <w:num w:numId="26">
    <w:abstractNumId w:val="19"/>
  </w:num>
  <w:num w:numId="27">
    <w:abstractNumId w:val="8"/>
  </w:num>
  <w:num w:numId="28">
    <w:abstractNumId w:val="11"/>
  </w:num>
  <w:num w:numId="29">
    <w:abstractNumId w:val="9"/>
  </w:num>
  <w:num w:numId="30">
    <w:abstractNumId w:val="20"/>
  </w:num>
  <w:num w:numId="31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DBA"/>
    <w:rsid w:val="00002872"/>
    <w:rsid w:val="000079E2"/>
    <w:rsid w:val="00012D62"/>
    <w:rsid w:val="00015306"/>
    <w:rsid w:val="0002674B"/>
    <w:rsid w:val="00033A43"/>
    <w:rsid w:val="00036873"/>
    <w:rsid w:val="0004162E"/>
    <w:rsid w:val="0004786B"/>
    <w:rsid w:val="000607A5"/>
    <w:rsid w:val="00063405"/>
    <w:rsid w:val="000678F0"/>
    <w:rsid w:val="00073AEC"/>
    <w:rsid w:val="000809B9"/>
    <w:rsid w:val="00084384"/>
    <w:rsid w:val="00090B40"/>
    <w:rsid w:val="00090F48"/>
    <w:rsid w:val="00095A0A"/>
    <w:rsid w:val="000A2E02"/>
    <w:rsid w:val="000A31A7"/>
    <w:rsid w:val="000B1B3D"/>
    <w:rsid w:val="000B43CC"/>
    <w:rsid w:val="000B4C60"/>
    <w:rsid w:val="000C4CAF"/>
    <w:rsid w:val="000C6628"/>
    <w:rsid w:val="000C665C"/>
    <w:rsid w:val="000D2744"/>
    <w:rsid w:val="000F5B89"/>
    <w:rsid w:val="00106026"/>
    <w:rsid w:val="00115CAD"/>
    <w:rsid w:val="001179D9"/>
    <w:rsid w:val="00121485"/>
    <w:rsid w:val="00124BEC"/>
    <w:rsid w:val="001268B0"/>
    <w:rsid w:val="001312D1"/>
    <w:rsid w:val="00133597"/>
    <w:rsid w:val="00142D4E"/>
    <w:rsid w:val="00150A5A"/>
    <w:rsid w:val="001540B4"/>
    <w:rsid w:val="0015639F"/>
    <w:rsid w:val="001646AD"/>
    <w:rsid w:val="0017245E"/>
    <w:rsid w:val="0018051B"/>
    <w:rsid w:val="00191CE7"/>
    <w:rsid w:val="001A2C68"/>
    <w:rsid w:val="001B1D50"/>
    <w:rsid w:val="001B1E4A"/>
    <w:rsid w:val="001C28EE"/>
    <w:rsid w:val="001D27C0"/>
    <w:rsid w:val="001D6942"/>
    <w:rsid w:val="001E03AD"/>
    <w:rsid w:val="001E1B75"/>
    <w:rsid w:val="001E1DD7"/>
    <w:rsid w:val="001E74C3"/>
    <w:rsid w:val="001F4CF0"/>
    <w:rsid w:val="001F6937"/>
    <w:rsid w:val="002134D0"/>
    <w:rsid w:val="00220230"/>
    <w:rsid w:val="00220DE3"/>
    <w:rsid w:val="00222DDB"/>
    <w:rsid w:val="002471A6"/>
    <w:rsid w:val="00250AD0"/>
    <w:rsid w:val="0025201C"/>
    <w:rsid w:val="0025290D"/>
    <w:rsid w:val="00253293"/>
    <w:rsid w:val="00260372"/>
    <w:rsid w:val="00262DAF"/>
    <w:rsid w:val="002846EC"/>
    <w:rsid w:val="00285AED"/>
    <w:rsid w:val="002914AF"/>
    <w:rsid w:val="002A1E51"/>
    <w:rsid w:val="002A7CA3"/>
    <w:rsid w:val="002B78FB"/>
    <w:rsid w:val="002D1069"/>
    <w:rsid w:val="002E2442"/>
    <w:rsid w:val="002F0E8C"/>
    <w:rsid w:val="00310FA0"/>
    <w:rsid w:val="00315A1C"/>
    <w:rsid w:val="00320481"/>
    <w:rsid w:val="003250CB"/>
    <w:rsid w:val="0032633E"/>
    <w:rsid w:val="003373ED"/>
    <w:rsid w:val="003441E9"/>
    <w:rsid w:val="00345B7F"/>
    <w:rsid w:val="00346AEC"/>
    <w:rsid w:val="00350A63"/>
    <w:rsid w:val="0035161F"/>
    <w:rsid w:val="00360AD4"/>
    <w:rsid w:val="00362587"/>
    <w:rsid w:val="00363201"/>
    <w:rsid w:val="00364105"/>
    <w:rsid w:val="0036623B"/>
    <w:rsid w:val="00367BBE"/>
    <w:rsid w:val="00380410"/>
    <w:rsid w:val="0039063C"/>
    <w:rsid w:val="003922D7"/>
    <w:rsid w:val="003A46A8"/>
    <w:rsid w:val="003A51AA"/>
    <w:rsid w:val="003B2A2F"/>
    <w:rsid w:val="003B3248"/>
    <w:rsid w:val="003B4613"/>
    <w:rsid w:val="003B565A"/>
    <w:rsid w:val="003C598B"/>
    <w:rsid w:val="003D00A1"/>
    <w:rsid w:val="003D318D"/>
    <w:rsid w:val="003D35F2"/>
    <w:rsid w:val="003D5756"/>
    <w:rsid w:val="003D7453"/>
    <w:rsid w:val="003E14D8"/>
    <w:rsid w:val="003E217E"/>
    <w:rsid w:val="003E6590"/>
    <w:rsid w:val="003F2C71"/>
    <w:rsid w:val="003F62E3"/>
    <w:rsid w:val="004032AF"/>
    <w:rsid w:val="00405932"/>
    <w:rsid w:val="00405EBE"/>
    <w:rsid w:val="0041427F"/>
    <w:rsid w:val="00416685"/>
    <w:rsid w:val="004310F5"/>
    <w:rsid w:val="00432C36"/>
    <w:rsid w:val="004338BD"/>
    <w:rsid w:val="00435AF1"/>
    <w:rsid w:val="0045087D"/>
    <w:rsid w:val="004509E5"/>
    <w:rsid w:val="004569E8"/>
    <w:rsid w:val="00473763"/>
    <w:rsid w:val="00486FB9"/>
    <w:rsid w:val="004931AF"/>
    <w:rsid w:val="004B2E25"/>
    <w:rsid w:val="004C212A"/>
    <w:rsid w:val="004D34D2"/>
    <w:rsid w:val="004E0004"/>
    <w:rsid w:val="004E053A"/>
    <w:rsid w:val="004E4EB8"/>
    <w:rsid w:val="004E523F"/>
    <w:rsid w:val="00500232"/>
    <w:rsid w:val="00504668"/>
    <w:rsid w:val="005455E1"/>
    <w:rsid w:val="005502BD"/>
    <w:rsid w:val="00553366"/>
    <w:rsid w:val="00553A08"/>
    <w:rsid w:val="00556787"/>
    <w:rsid w:val="0056110E"/>
    <w:rsid w:val="00570584"/>
    <w:rsid w:val="00575963"/>
    <w:rsid w:val="00582276"/>
    <w:rsid w:val="00590A3B"/>
    <w:rsid w:val="00591968"/>
    <w:rsid w:val="00593801"/>
    <w:rsid w:val="005939CD"/>
    <w:rsid w:val="005A150A"/>
    <w:rsid w:val="005A2E28"/>
    <w:rsid w:val="005C11EA"/>
    <w:rsid w:val="005C1F90"/>
    <w:rsid w:val="005C2560"/>
    <w:rsid w:val="005D08C9"/>
    <w:rsid w:val="005D2236"/>
    <w:rsid w:val="005D554C"/>
    <w:rsid w:val="005F7585"/>
    <w:rsid w:val="00605759"/>
    <w:rsid w:val="006231EA"/>
    <w:rsid w:val="006258B6"/>
    <w:rsid w:val="00650C6C"/>
    <w:rsid w:val="00652FE6"/>
    <w:rsid w:val="00667898"/>
    <w:rsid w:val="00675EFB"/>
    <w:rsid w:val="00677FE0"/>
    <w:rsid w:val="00680563"/>
    <w:rsid w:val="0069696F"/>
    <w:rsid w:val="006A51F7"/>
    <w:rsid w:val="006D04EF"/>
    <w:rsid w:val="006D050E"/>
    <w:rsid w:val="006D56ED"/>
    <w:rsid w:val="006D65E8"/>
    <w:rsid w:val="006D7FD5"/>
    <w:rsid w:val="006E2FB0"/>
    <w:rsid w:val="006E41E0"/>
    <w:rsid w:val="0070070A"/>
    <w:rsid w:val="00707256"/>
    <w:rsid w:val="007102D2"/>
    <w:rsid w:val="007111FF"/>
    <w:rsid w:val="0071198D"/>
    <w:rsid w:val="00713948"/>
    <w:rsid w:val="0071490B"/>
    <w:rsid w:val="00722D86"/>
    <w:rsid w:val="00735409"/>
    <w:rsid w:val="007416A7"/>
    <w:rsid w:val="00753A27"/>
    <w:rsid w:val="00753D49"/>
    <w:rsid w:val="007634C4"/>
    <w:rsid w:val="00763A33"/>
    <w:rsid w:val="0076434B"/>
    <w:rsid w:val="00767DD5"/>
    <w:rsid w:val="007754E2"/>
    <w:rsid w:val="00784205"/>
    <w:rsid w:val="0079342A"/>
    <w:rsid w:val="007A2E75"/>
    <w:rsid w:val="007B44AE"/>
    <w:rsid w:val="007B4949"/>
    <w:rsid w:val="007B4DBA"/>
    <w:rsid w:val="007B5CCB"/>
    <w:rsid w:val="007B72AA"/>
    <w:rsid w:val="007B751F"/>
    <w:rsid w:val="007C7F21"/>
    <w:rsid w:val="007D310C"/>
    <w:rsid w:val="007D3BA7"/>
    <w:rsid w:val="007D405D"/>
    <w:rsid w:val="007E68EC"/>
    <w:rsid w:val="007E724A"/>
    <w:rsid w:val="007F0BC6"/>
    <w:rsid w:val="007F40C2"/>
    <w:rsid w:val="007F6D8F"/>
    <w:rsid w:val="00820B61"/>
    <w:rsid w:val="00822A1B"/>
    <w:rsid w:val="00824A9E"/>
    <w:rsid w:val="00831374"/>
    <w:rsid w:val="00834582"/>
    <w:rsid w:val="00835276"/>
    <w:rsid w:val="00857580"/>
    <w:rsid w:val="00857B2A"/>
    <w:rsid w:val="00865238"/>
    <w:rsid w:val="008667BF"/>
    <w:rsid w:val="00880F6F"/>
    <w:rsid w:val="00884B5E"/>
    <w:rsid w:val="00895645"/>
    <w:rsid w:val="008A7851"/>
    <w:rsid w:val="008B0096"/>
    <w:rsid w:val="008C1E30"/>
    <w:rsid w:val="008C3782"/>
    <w:rsid w:val="008D0CB1"/>
    <w:rsid w:val="008D402C"/>
    <w:rsid w:val="008D4A32"/>
    <w:rsid w:val="008D593A"/>
    <w:rsid w:val="008E7760"/>
    <w:rsid w:val="009033E3"/>
    <w:rsid w:val="00921CBE"/>
    <w:rsid w:val="00922001"/>
    <w:rsid w:val="00922C17"/>
    <w:rsid w:val="00926F08"/>
    <w:rsid w:val="00926FF6"/>
    <w:rsid w:val="00927CF3"/>
    <w:rsid w:val="00931017"/>
    <w:rsid w:val="00941F05"/>
    <w:rsid w:val="00942DDD"/>
    <w:rsid w:val="009516A8"/>
    <w:rsid w:val="0095487F"/>
    <w:rsid w:val="00955BB1"/>
    <w:rsid w:val="009609FA"/>
    <w:rsid w:val="0096271C"/>
    <w:rsid w:val="0096632F"/>
    <w:rsid w:val="00975BC1"/>
    <w:rsid w:val="0097705C"/>
    <w:rsid w:val="00983AB3"/>
    <w:rsid w:val="0099007A"/>
    <w:rsid w:val="009A2C9C"/>
    <w:rsid w:val="009A4DB4"/>
    <w:rsid w:val="009B2B7C"/>
    <w:rsid w:val="009C712C"/>
    <w:rsid w:val="009D5FAF"/>
    <w:rsid w:val="009E179A"/>
    <w:rsid w:val="009E2366"/>
    <w:rsid w:val="009E3E1E"/>
    <w:rsid w:val="009E5428"/>
    <w:rsid w:val="009F178C"/>
    <w:rsid w:val="009F1A8E"/>
    <w:rsid w:val="009F2D2A"/>
    <w:rsid w:val="009F2E50"/>
    <w:rsid w:val="009F393D"/>
    <w:rsid w:val="009F4F4F"/>
    <w:rsid w:val="009F7F46"/>
    <w:rsid w:val="00A000BF"/>
    <w:rsid w:val="00A02AE5"/>
    <w:rsid w:val="00A03F2E"/>
    <w:rsid w:val="00A0587E"/>
    <w:rsid w:val="00A22FBC"/>
    <w:rsid w:val="00A275BC"/>
    <w:rsid w:val="00A37969"/>
    <w:rsid w:val="00A42AE3"/>
    <w:rsid w:val="00A464B4"/>
    <w:rsid w:val="00A54A85"/>
    <w:rsid w:val="00A5587A"/>
    <w:rsid w:val="00A5593B"/>
    <w:rsid w:val="00A63D6B"/>
    <w:rsid w:val="00A7117E"/>
    <w:rsid w:val="00A731F6"/>
    <w:rsid w:val="00A817C6"/>
    <w:rsid w:val="00A81CC0"/>
    <w:rsid w:val="00A84B52"/>
    <w:rsid w:val="00A8660F"/>
    <w:rsid w:val="00A92B46"/>
    <w:rsid w:val="00A95C48"/>
    <w:rsid w:val="00AA2490"/>
    <w:rsid w:val="00AA5431"/>
    <w:rsid w:val="00AA7056"/>
    <w:rsid w:val="00AB31C6"/>
    <w:rsid w:val="00AB4093"/>
    <w:rsid w:val="00AB523B"/>
    <w:rsid w:val="00AC2F38"/>
    <w:rsid w:val="00AC5779"/>
    <w:rsid w:val="00AD5C77"/>
    <w:rsid w:val="00AD7E40"/>
    <w:rsid w:val="00AE165B"/>
    <w:rsid w:val="00AE1E2D"/>
    <w:rsid w:val="00AE29B9"/>
    <w:rsid w:val="00AF7ED7"/>
    <w:rsid w:val="00B04C3E"/>
    <w:rsid w:val="00B146B6"/>
    <w:rsid w:val="00B1477A"/>
    <w:rsid w:val="00B20993"/>
    <w:rsid w:val="00B36791"/>
    <w:rsid w:val="00B42E96"/>
    <w:rsid w:val="00B50EE6"/>
    <w:rsid w:val="00B52185"/>
    <w:rsid w:val="00B6366D"/>
    <w:rsid w:val="00B73D90"/>
    <w:rsid w:val="00B74DBF"/>
    <w:rsid w:val="00B8738D"/>
    <w:rsid w:val="00B87A55"/>
    <w:rsid w:val="00B9753A"/>
    <w:rsid w:val="00BA1BD3"/>
    <w:rsid w:val="00BB479C"/>
    <w:rsid w:val="00BC4720"/>
    <w:rsid w:val="00BD75A2"/>
    <w:rsid w:val="00BE0DBF"/>
    <w:rsid w:val="00BE25EE"/>
    <w:rsid w:val="00BF52EA"/>
    <w:rsid w:val="00BF7781"/>
    <w:rsid w:val="00C005DD"/>
    <w:rsid w:val="00C0158A"/>
    <w:rsid w:val="00C039B4"/>
    <w:rsid w:val="00C05221"/>
    <w:rsid w:val="00C05CCF"/>
    <w:rsid w:val="00C1041A"/>
    <w:rsid w:val="00C2017A"/>
    <w:rsid w:val="00C2026B"/>
    <w:rsid w:val="00C20470"/>
    <w:rsid w:val="00C34B2F"/>
    <w:rsid w:val="00C41D7D"/>
    <w:rsid w:val="00C4641B"/>
    <w:rsid w:val="00C46E20"/>
    <w:rsid w:val="00C52630"/>
    <w:rsid w:val="00C6690E"/>
    <w:rsid w:val="00C703C5"/>
    <w:rsid w:val="00C726FF"/>
    <w:rsid w:val="00C733A2"/>
    <w:rsid w:val="00C805F2"/>
    <w:rsid w:val="00C91BB1"/>
    <w:rsid w:val="00C94B0C"/>
    <w:rsid w:val="00C96EFE"/>
    <w:rsid w:val="00CA784A"/>
    <w:rsid w:val="00CB1D45"/>
    <w:rsid w:val="00CB2265"/>
    <w:rsid w:val="00CC5E40"/>
    <w:rsid w:val="00CC739A"/>
    <w:rsid w:val="00CF0384"/>
    <w:rsid w:val="00D01B01"/>
    <w:rsid w:val="00D101CC"/>
    <w:rsid w:val="00D1569F"/>
    <w:rsid w:val="00D20B1E"/>
    <w:rsid w:val="00D22462"/>
    <w:rsid w:val="00D230AC"/>
    <w:rsid w:val="00D32079"/>
    <w:rsid w:val="00D32489"/>
    <w:rsid w:val="00D3349E"/>
    <w:rsid w:val="00D33820"/>
    <w:rsid w:val="00D36F2D"/>
    <w:rsid w:val="00D52B2C"/>
    <w:rsid w:val="00D551F9"/>
    <w:rsid w:val="00D569BA"/>
    <w:rsid w:val="00D71519"/>
    <w:rsid w:val="00D73AF3"/>
    <w:rsid w:val="00D73B95"/>
    <w:rsid w:val="00D73CB8"/>
    <w:rsid w:val="00D8145E"/>
    <w:rsid w:val="00D83734"/>
    <w:rsid w:val="00D86ED6"/>
    <w:rsid w:val="00DA1E66"/>
    <w:rsid w:val="00DA7591"/>
    <w:rsid w:val="00DB4633"/>
    <w:rsid w:val="00DB4BB0"/>
    <w:rsid w:val="00DB6AC3"/>
    <w:rsid w:val="00DC1417"/>
    <w:rsid w:val="00DD7B65"/>
    <w:rsid w:val="00DE22A2"/>
    <w:rsid w:val="00DF30A3"/>
    <w:rsid w:val="00E0001D"/>
    <w:rsid w:val="00E03FF5"/>
    <w:rsid w:val="00E2159F"/>
    <w:rsid w:val="00E24D21"/>
    <w:rsid w:val="00E27EF4"/>
    <w:rsid w:val="00E30133"/>
    <w:rsid w:val="00E32798"/>
    <w:rsid w:val="00E33CC8"/>
    <w:rsid w:val="00E36DE0"/>
    <w:rsid w:val="00E444DB"/>
    <w:rsid w:val="00E51C91"/>
    <w:rsid w:val="00E568F4"/>
    <w:rsid w:val="00E613EE"/>
    <w:rsid w:val="00E667C1"/>
    <w:rsid w:val="00E77EAE"/>
    <w:rsid w:val="00E80909"/>
    <w:rsid w:val="00E840EC"/>
    <w:rsid w:val="00EB1D8C"/>
    <w:rsid w:val="00EC3C55"/>
    <w:rsid w:val="00EC3F88"/>
    <w:rsid w:val="00ED0D49"/>
    <w:rsid w:val="00ED36D8"/>
    <w:rsid w:val="00EE019E"/>
    <w:rsid w:val="00EE5742"/>
    <w:rsid w:val="00EE6BD7"/>
    <w:rsid w:val="00EF1902"/>
    <w:rsid w:val="00EF3B28"/>
    <w:rsid w:val="00F03706"/>
    <w:rsid w:val="00F0689D"/>
    <w:rsid w:val="00F23FCB"/>
    <w:rsid w:val="00F3099D"/>
    <w:rsid w:val="00F338EC"/>
    <w:rsid w:val="00F36AAF"/>
    <w:rsid w:val="00F43CED"/>
    <w:rsid w:val="00F5507F"/>
    <w:rsid w:val="00F55AA3"/>
    <w:rsid w:val="00F61789"/>
    <w:rsid w:val="00F62BDA"/>
    <w:rsid w:val="00F67DF0"/>
    <w:rsid w:val="00F7005B"/>
    <w:rsid w:val="00F736AD"/>
    <w:rsid w:val="00F73C50"/>
    <w:rsid w:val="00F8405F"/>
    <w:rsid w:val="00F9485C"/>
    <w:rsid w:val="00FB01B5"/>
    <w:rsid w:val="00FB535E"/>
    <w:rsid w:val="00FC09A8"/>
    <w:rsid w:val="00FD3FE2"/>
    <w:rsid w:val="00FD5A6C"/>
    <w:rsid w:val="00FD7155"/>
    <w:rsid w:val="00FE1CDB"/>
    <w:rsid w:val="00FF2BA4"/>
    <w:rsid w:val="00FF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17C79A"/>
  <w15:chartTrackingRefBased/>
  <w15:docId w15:val="{6127FD9E-0D0D-4D26-9ECA-9F6120B6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poznpodarou">
    <w:name w:val="footnote text"/>
    <w:basedOn w:val="Normln"/>
    <w:link w:val="TextpoznpodarouChar"/>
    <w:semiHidden/>
    <w:unhideWhenUsed/>
    <w:rsid w:val="007B4DB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B4DBA"/>
    <w:rPr>
      <w:color w:val="000000" w:themeColor="text1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7B4DBA"/>
    <w:rPr>
      <w:vertAlign w:val="superscript"/>
    </w:rPr>
  </w:style>
  <w:style w:type="paragraph" w:customStyle="1" w:styleId="Textbodu">
    <w:name w:val="Text bodu"/>
    <w:basedOn w:val="Normln"/>
    <w:rsid w:val="007B4DBA"/>
    <w:pPr>
      <w:numPr>
        <w:ilvl w:val="2"/>
        <w:numId w:val="10"/>
      </w:numPr>
      <w:outlineLvl w:val="8"/>
    </w:pPr>
  </w:style>
  <w:style w:type="paragraph" w:customStyle="1" w:styleId="Textpsmene">
    <w:name w:val="Text písmene"/>
    <w:basedOn w:val="Normln"/>
    <w:rsid w:val="007B4DBA"/>
    <w:pPr>
      <w:numPr>
        <w:ilvl w:val="1"/>
        <w:numId w:val="10"/>
      </w:numPr>
      <w:outlineLvl w:val="7"/>
    </w:pPr>
  </w:style>
  <w:style w:type="paragraph" w:customStyle="1" w:styleId="Textodstavce">
    <w:name w:val="Text odstavce"/>
    <w:basedOn w:val="Normln"/>
    <w:link w:val="TextodstavceChar"/>
    <w:rsid w:val="007B4DBA"/>
    <w:pPr>
      <w:tabs>
        <w:tab w:val="left" w:pos="851"/>
      </w:tabs>
      <w:spacing w:before="120" w:after="120"/>
      <w:outlineLvl w:val="6"/>
    </w:pPr>
  </w:style>
  <w:style w:type="paragraph" w:customStyle="1" w:styleId="Nadpisparagrafu">
    <w:name w:val="Nadpis paragrafu"/>
    <w:basedOn w:val="Normln"/>
    <w:next w:val="Textodstavce"/>
    <w:rsid w:val="007B4DBA"/>
    <w:pPr>
      <w:keepNext/>
      <w:keepLines/>
      <w:spacing w:before="240"/>
      <w:jc w:val="center"/>
      <w:outlineLvl w:val="5"/>
    </w:pPr>
    <w:rPr>
      <w:b/>
    </w:rPr>
  </w:style>
  <w:style w:type="character" w:customStyle="1" w:styleId="TextodstavceChar">
    <w:name w:val="Text odstavce Char"/>
    <w:link w:val="Textodstavce"/>
    <w:locked/>
    <w:rsid w:val="007B4DBA"/>
    <w:rPr>
      <w:color w:val="000000" w:themeColor="text1"/>
    </w:rPr>
  </w:style>
  <w:style w:type="character" w:styleId="Odkaznakoment">
    <w:name w:val="annotation reference"/>
    <w:basedOn w:val="Standardnpsmoodstavce"/>
    <w:uiPriority w:val="99"/>
    <w:semiHidden/>
    <w:unhideWhenUsed/>
    <w:rsid w:val="00824A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A9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A9E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A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A9E"/>
    <w:rPr>
      <w:b/>
      <w:bCs/>
      <w:color w:val="000000" w:themeColor="text1"/>
      <w:sz w:val="20"/>
      <w:szCs w:val="20"/>
    </w:rPr>
  </w:style>
  <w:style w:type="paragraph" w:styleId="Revize">
    <w:name w:val="Revision"/>
    <w:hidden/>
    <w:uiPriority w:val="99"/>
    <w:semiHidden/>
    <w:rsid w:val="006D65E8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6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423E5-F98D-461E-8442-19D594BBA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2440</Words>
  <Characters>14402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Budinský Jan</dc:creator>
  <cp:keywords/>
  <dc:description/>
  <cp:lastModifiedBy>MPO</cp:lastModifiedBy>
  <cp:revision>12</cp:revision>
  <cp:lastPrinted>2025-02-13T10:32:00Z</cp:lastPrinted>
  <dcterms:created xsi:type="dcterms:W3CDTF">2025-02-19T17:43:00Z</dcterms:created>
  <dcterms:modified xsi:type="dcterms:W3CDTF">2025-02-19T22:05:00Z</dcterms:modified>
</cp:coreProperties>
</file>