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BB7FE" w14:textId="77777777" w:rsidR="000B338E" w:rsidRPr="00AF1B35" w:rsidRDefault="000750A5" w:rsidP="000750A5">
      <w:pPr>
        <w:jc w:val="center"/>
        <w:rPr>
          <w:b/>
          <w:u w:val="single"/>
        </w:rPr>
      </w:pPr>
      <w:r w:rsidRPr="00AF1B35">
        <w:rPr>
          <w:b/>
          <w:u w:val="single"/>
        </w:rPr>
        <w:t>ROZDÍLOVÁ TABULKA NÁVRHU PŘEDPISU ČR S LEGISLATIVOU EU</w:t>
      </w:r>
    </w:p>
    <w:p w14:paraId="1AFE3CC4" w14:textId="77777777" w:rsidR="000750A5" w:rsidRPr="00AF1B35" w:rsidRDefault="000750A5" w:rsidP="000750A5">
      <w:pPr>
        <w:jc w:val="cente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36"/>
        <w:gridCol w:w="4705"/>
        <w:gridCol w:w="1517"/>
        <w:gridCol w:w="1363"/>
        <w:gridCol w:w="4873"/>
      </w:tblGrid>
      <w:tr w:rsidR="000750A5" w:rsidRPr="005D452F" w14:paraId="1F0427FB" w14:textId="77777777" w:rsidTr="00A267C2">
        <w:tc>
          <w:tcPr>
            <w:tcW w:w="2218" w:type="pct"/>
            <w:gridSpan w:val="2"/>
            <w:tcBorders>
              <w:bottom w:val="single" w:sz="4" w:space="0" w:color="000000" w:themeColor="text1"/>
            </w:tcBorders>
            <w:shd w:val="clear" w:color="auto" w:fill="E6E6E6"/>
            <w:tcMar>
              <w:top w:w="57" w:type="dxa"/>
              <w:bottom w:w="57" w:type="dxa"/>
            </w:tcMar>
          </w:tcPr>
          <w:p w14:paraId="266DF0DA" w14:textId="32967B05" w:rsidR="000750A5" w:rsidRPr="005D452F" w:rsidRDefault="00E70504" w:rsidP="00E70504">
            <w:pPr>
              <w:pStyle w:val="bukatabulky"/>
              <w:jc w:val="center"/>
            </w:pPr>
            <w:r>
              <w:rPr>
                <w:rStyle w:val="tituleknadpisu"/>
              </w:rPr>
              <w:t>Návrh zákona</w:t>
            </w:r>
            <w:r w:rsidR="00EC5BFD">
              <w:t xml:space="preserve"> </w:t>
            </w:r>
            <w:r w:rsidR="00EC5BFD" w:rsidRPr="00EC5BFD">
              <w:rPr>
                <w:rStyle w:val="tituleknadpisu"/>
              </w:rPr>
              <w:t>o stanovení rámce opatření pro posílení evropského ekosystému výroby technologií pro nulové čisté emise, a o změně souvisejících zákonů</w:t>
            </w:r>
          </w:p>
        </w:tc>
        <w:tc>
          <w:tcPr>
            <w:tcW w:w="2782" w:type="pct"/>
            <w:gridSpan w:val="3"/>
            <w:tcBorders>
              <w:bottom w:val="single" w:sz="4" w:space="0" w:color="000000" w:themeColor="text1"/>
            </w:tcBorders>
            <w:shd w:val="clear" w:color="auto" w:fill="E6E6E6"/>
            <w:tcMar>
              <w:top w:w="57" w:type="dxa"/>
              <w:bottom w:w="57" w:type="dxa"/>
            </w:tcMar>
          </w:tcPr>
          <w:p w14:paraId="62BD9B85" w14:textId="77777777" w:rsidR="000750A5" w:rsidRPr="005D452F" w:rsidRDefault="000750A5" w:rsidP="005D452F">
            <w:pPr>
              <w:pStyle w:val="bukatabulky"/>
              <w:jc w:val="center"/>
            </w:pPr>
            <w:r w:rsidRPr="005D452F">
              <w:rPr>
                <w:rStyle w:val="tituleknadpisu"/>
              </w:rPr>
              <w:t>Odpovídající předpis EU</w:t>
            </w:r>
          </w:p>
        </w:tc>
      </w:tr>
      <w:tr w:rsidR="000750A5" w:rsidRPr="005D452F" w14:paraId="2AE3E678" w14:textId="77777777" w:rsidTr="00A267C2">
        <w:tc>
          <w:tcPr>
            <w:tcW w:w="525" w:type="pct"/>
            <w:shd w:val="clear" w:color="auto" w:fill="E6E6E6"/>
            <w:tcMar>
              <w:top w:w="57" w:type="dxa"/>
              <w:bottom w:w="57" w:type="dxa"/>
            </w:tcMar>
          </w:tcPr>
          <w:p w14:paraId="7D7E7E21" w14:textId="77777777" w:rsidR="000750A5" w:rsidRPr="005D452F" w:rsidRDefault="000750A5" w:rsidP="005C565C">
            <w:pPr>
              <w:pStyle w:val="bukatabulky"/>
            </w:pPr>
            <w:r w:rsidRPr="005D452F">
              <w:rPr>
                <w:rStyle w:val="tituleknadpisu"/>
              </w:rPr>
              <w:t>Ustanovení</w:t>
            </w:r>
          </w:p>
        </w:tc>
        <w:tc>
          <w:tcPr>
            <w:tcW w:w="1693" w:type="pct"/>
            <w:shd w:val="clear" w:color="auto" w:fill="E6E6E6"/>
            <w:tcMar>
              <w:top w:w="57" w:type="dxa"/>
              <w:bottom w:w="57" w:type="dxa"/>
            </w:tcMar>
          </w:tcPr>
          <w:p w14:paraId="78B9AFCC" w14:textId="77777777" w:rsidR="000750A5" w:rsidRPr="005D452F" w:rsidRDefault="000750A5" w:rsidP="005D452F">
            <w:pPr>
              <w:pStyle w:val="bukatabulky"/>
              <w:jc w:val="center"/>
            </w:pPr>
            <w:r w:rsidRPr="005D452F">
              <w:rPr>
                <w:rStyle w:val="tituleknadpisu"/>
              </w:rPr>
              <w:t>Obsah</w:t>
            </w:r>
          </w:p>
        </w:tc>
        <w:tc>
          <w:tcPr>
            <w:tcW w:w="542" w:type="pct"/>
            <w:shd w:val="clear" w:color="auto" w:fill="E6E6E6"/>
            <w:tcMar>
              <w:top w:w="57" w:type="dxa"/>
              <w:bottom w:w="57" w:type="dxa"/>
            </w:tcMar>
          </w:tcPr>
          <w:p w14:paraId="069A1009" w14:textId="77777777" w:rsidR="000750A5" w:rsidRPr="005D452F" w:rsidRDefault="000750A5" w:rsidP="005D452F">
            <w:pPr>
              <w:pStyle w:val="bukatabulky"/>
              <w:jc w:val="center"/>
            </w:pPr>
            <w:r w:rsidRPr="005D452F">
              <w:rPr>
                <w:rStyle w:val="tituleknadpisu"/>
              </w:rPr>
              <w:t>CELEX č.</w:t>
            </w:r>
          </w:p>
        </w:tc>
        <w:tc>
          <w:tcPr>
            <w:tcW w:w="487" w:type="pct"/>
            <w:shd w:val="clear" w:color="auto" w:fill="E6E6E6"/>
            <w:tcMar>
              <w:top w:w="57" w:type="dxa"/>
              <w:bottom w:w="57" w:type="dxa"/>
            </w:tcMar>
          </w:tcPr>
          <w:p w14:paraId="5F65E489" w14:textId="77777777" w:rsidR="000750A5" w:rsidRPr="005D452F" w:rsidRDefault="000750A5" w:rsidP="005D452F">
            <w:pPr>
              <w:pStyle w:val="bukatabulky"/>
              <w:jc w:val="center"/>
            </w:pPr>
            <w:r w:rsidRPr="005D452F">
              <w:rPr>
                <w:rStyle w:val="tituleknadpisu"/>
              </w:rPr>
              <w:t>Ustanovení</w:t>
            </w:r>
          </w:p>
        </w:tc>
        <w:tc>
          <w:tcPr>
            <w:tcW w:w="1753" w:type="pct"/>
            <w:shd w:val="clear" w:color="auto" w:fill="E6E6E6"/>
            <w:tcMar>
              <w:top w:w="57" w:type="dxa"/>
              <w:bottom w:w="57" w:type="dxa"/>
            </w:tcMar>
          </w:tcPr>
          <w:p w14:paraId="62FD4F9B" w14:textId="77777777" w:rsidR="000750A5" w:rsidRPr="005D452F" w:rsidRDefault="000750A5" w:rsidP="005D452F">
            <w:pPr>
              <w:pStyle w:val="bukatabulky"/>
              <w:jc w:val="center"/>
            </w:pPr>
            <w:r w:rsidRPr="005D452F">
              <w:rPr>
                <w:rStyle w:val="tituleknadpisu"/>
              </w:rPr>
              <w:t>Obsah</w:t>
            </w:r>
          </w:p>
        </w:tc>
      </w:tr>
      <w:tr w:rsidR="000A2ED8" w:rsidRPr="005D452F" w14:paraId="0756EBDD" w14:textId="77777777" w:rsidTr="00A267C2">
        <w:tc>
          <w:tcPr>
            <w:tcW w:w="525" w:type="pct"/>
            <w:shd w:val="clear" w:color="auto" w:fill="auto"/>
            <w:tcMar>
              <w:top w:w="57" w:type="dxa"/>
              <w:bottom w:w="57" w:type="dxa"/>
            </w:tcMar>
          </w:tcPr>
          <w:p w14:paraId="7BB77EBA" w14:textId="6470CA54" w:rsidR="000A2ED8" w:rsidRDefault="00CA46C2" w:rsidP="000A2ED8">
            <w:r>
              <w:t>§ 3 odst. 1</w:t>
            </w:r>
          </w:p>
          <w:p w14:paraId="560EECE1" w14:textId="15A25C6A" w:rsidR="002E4C71" w:rsidRDefault="002E4C71" w:rsidP="000A2ED8"/>
          <w:p w14:paraId="10C01ED6" w14:textId="356BA06E" w:rsidR="002E4C71" w:rsidRDefault="002E4C71" w:rsidP="000A2ED8"/>
          <w:p w14:paraId="7CF667A3" w14:textId="13F2C397" w:rsidR="002E4C71" w:rsidRDefault="002E4C71" w:rsidP="000A2ED8"/>
          <w:p w14:paraId="63463692" w14:textId="17A85A28" w:rsidR="002E4C71" w:rsidRDefault="002E4C71" w:rsidP="000A2ED8"/>
          <w:p w14:paraId="30975F36" w14:textId="3A2C7AAD" w:rsidR="002E4C71" w:rsidRDefault="002E4C71" w:rsidP="000A2ED8"/>
          <w:p w14:paraId="576B1371" w14:textId="41D5B2AA" w:rsidR="002E4C71" w:rsidRDefault="002E4C71" w:rsidP="000A2ED8"/>
          <w:p w14:paraId="3E33EAB7" w14:textId="68C048D8" w:rsidR="002E4C71" w:rsidRDefault="002E4C71" w:rsidP="000A2ED8"/>
          <w:p w14:paraId="33B7628F" w14:textId="1D4CC47E" w:rsidR="002E4C71" w:rsidRDefault="002E4C71" w:rsidP="000A2ED8"/>
          <w:p w14:paraId="251AE69F" w14:textId="140E3B3B" w:rsidR="002E4C71" w:rsidRDefault="002E4C71" w:rsidP="000A2ED8"/>
          <w:p w14:paraId="0102F545" w14:textId="62815437" w:rsidR="002E4C71" w:rsidRDefault="002E4C71" w:rsidP="000A2ED8">
            <w:r>
              <w:t>§ 3 odst. 2</w:t>
            </w:r>
          </w:p>
          <w:p w14:paraId="20752499" w14:textId="77777777" w:rsidR="002E4C71" w:rsidRDefault="002E4C71" w:rsidP="000A2ED8"/>
          <w:p w14:paraId="26217B18" w14:textId="77777777" w:rsidR="002E4C71" w:rsidRDefault="002E4C71" w:rsidP="000A2ED8"/>
          <w:p w14:paraId="4B267EE4" w14:textId="77777777" w:rsidR="002E4C71" w:rsidRDefault="002E4C71" w:rsidP="000A2ED8"/>
          <w:p w14:paraId="66B27587" w14:textId="77777777" w:rsidR="002E4C71" w:rsidRDefault="002E4C71" w:rsidP="000A2ED8"/>
          <w:p w14:paraId="118F1864" w14:textId="77777777" w:rsidR="002E4C71" w:rsidRDefault="002E4C71" w:rsidP="000A2ED8"/>
          <w:p w14:paraId="6726516B" w14:textId="77777777" w:rsidR="002E4C71" w:rsidRDefault="002E4C71" w:rsidP="000A2ED8"/>
          <w:p w14:paraId="7795A270" w14:textId="77777777" w:rsidR="002E4C71" w:rsidRDefault="002E4C71" w:rsidP="000A2ED8"/>
          <w:p w14:paraId="18BEB97F" w14:textId="77777777" w:rsidR="002E4C71" w:rsidRDefault="002E4C71" w:rsidP="000A2ED8"/>
          <w:p w14:paraId="6FC15D32" w14:textId="77777777" w:rsidR="002E4C71" w:rsidRDefault="002E4C71" w:rsidP="000A2ED8"/>
          <w:p w14:paraId="5C7178DC" w14:textId="77777777" w:rsidR="002E4C71" w:rsidRDefault="002E4C71" w:rsidP="000A2ED8"/>
          <w:p w14:paraId="2F4418CF" w14:textId="77777777" w:rsidR="002E4C71" w:rsidRDefault="002E4C71" w:rsidP="000A2ED8"/>
          <w:p w14:paraId="44AF2A2E" w14:textId="77777777" w:rsidR="002E4C71" w:rsidRDefault="002E4C71" w:rsidP="000A2ED8"/>
          <w:p w14:paraId="73E99FF4" w14:textId="77777777" w:rsidR="002E4C71" w:rsidRDefault="002E4C71" w:rsidP="000A2ED8"/>
          <w:p w14:paraId="4EB89694" w14:textId="0EF1F8FC" w:rsidR="002E4C71" w:rsidRPr="00FB58A3" w:rsidRDefault="002E4C71" w:rsidP="000A2ED8"/>
        </w:tc>
        <w:tc>
          <w:tcPr>
            <w:tcW w:w="1693" w:type="pct"/>
            <w:shd w:val="clear" w:color="auto" w:fill="auto"/>
            <w:tcMar>
              <w:top w:w="57" w:type="dxa"/>
              <w:bottom w:w="57" w:type="dxa"/>
            </w:tcMar>
          </w:tcPr>
          <w:p w14:paraId="6B984043" w14:textId="77777777" w:rsidR="002E4C71" w:rsidRDefault="002E4C71" w:rsidP="002E4C71">
            <w:pPr>
              <w:pStyle w:val="Odstavecseseznamem"/>
              <w:numPr>
                <w:ilvl w:val="0"/>
                <w:numId w:val="23"/>
              </w:numPr>
              <w:ind w:left="0" w:firstLine="0"/>
              <w:rPr>
                <w:u w:val="single"/>
              </w:rPr>
            </w:pPr>
            <w:r w:rsidRPr="002E4C71">
              <w:rPr>
                <w:u w:val="single"/>
              </w:rPr>
              <w:lastRenderedPageBreak/>
              <w:t>Místně příslušný krajský úřad je jednotným kontaktním místem ve smyslu čl. 6 odst. 1 nařízení Evropského parlamentu a Rady (EU) 2024/1735 pro stavby určené k výrobě technologií a komponent pro nulové čisté emise uvedené v seznamu v příloze k nařízení Evropského parlamentu a Rady (EU) 2024/1735 a dekarbonizačního záměru v průmyslu.</w:t>
            </w:r>
          </w:p>
          <w:p w14:paraId="14FC737D" w14:textId="77777777" w:rsidR="002E4C71" w:rsidRDefault="002E4C71" w:rsidP="002E4C71">
            <w:pPr>
              <w:rPr>
                <w:u w:val="single"/>
              </w:rPr>
            </w:pPr>
          </w:p>
          <w:p w14:paraId="1A75841C" w14:textId="55BA6C4E" w:rsidR="002E4C71" w:rsidRPr="002E4C71" w:rsidRDefault="002E4C71" w:rsidP="002E4C71">
            <w:pPr>
              <w:rPr>
                <w:u w:val="single"/>
              </w:rPr>
            </w:pPr>
            <w:r w:rsidRPr="002E4C71">
              <w:rPr>
                <w:u w:val="single"/>
              </w:rPr>
              <w:t>(2)</w:t>
            </w:r>
            <w:r w:rsidRPr="002E4C71">
              <w:rPr>
                <w:u w:val="single"/>
              </w:rPr>
              <w:tab/>
              <w:t xml:space="preserve">Dopravní a energetický stavební úřad je jednotným kontaktním místem ve smyslu čl. 6 odst. 1 nařízení Evropského parlamentu a Rady (EU) 2024/1735 pro stavby určené k výrobě technologií a komponent pro nulové čisté emise uvedené v seznamu v příloze k nařízení Evropského parlamentu a Rady (EU) 2024/1735které mají být umístěny v lokalitě stanovené v příloze č. 3 zákona o urychlení výstavby strategicky významné infrastruktury a staveb a zařízení, které mají sloužit k ukládání oxidu uhličitého do přírodních horninových struktur nebo k zachytávání </w:t>
            </w:r>
            <w:r w:rsidRPr="002E4C71">
              <w:rPr>
                <w:u w:val="single"/>
              </w:rPr>
              <w:lastRenderedPageBreak/>
              <w:t>oxidu uhličitého, a staveb přepravní sítě určených k přepravě oxidu uhličitého na úložiště oxidu uhličitého.</w:t>
            </w:r>
          </w:p>
        </w:tc>
        <w:tc>
          <w:tcPr>
            <w:tcW w:w="542" w:type="pct"/>
            <w:shd w:val="clear" w:color="auto" w:fill="auto"/>
            <w:tcMar>
              <w:top w:w="57" w:type="dxa"/>
              <w:bottom w:w="57" w:type="dxa"/>
            </w:tcMar>
          </w:tcPr>
          <w:p w14:paraId="2959DF92" w14:textId="2A69863F" w:rsidR="000A2ED8" w:rsidRPr="00163132" w:rsidRDefault="000A2ED8" w:rsidP="000A2ED8">
            <w:pPr>
              <w:rPr>
                <w:color w:val="333333"/>
                <w:shd w:val="clear" w:color="auto" w:fill="FFFFFF"/>
              </w:rPr>
            </w:pPr>
            <w:r w:rsidRPr="00163132">
              <w:rPr>
                <w:color w:val="333333"/>
                <w:shd w:val="clear" w:color="auto" w:fill="FFFFFF"/>
              </w:rPr>
              <w:lastRenderedPageBreak/>
              <w:t> 32024R1735</w:t>
            </w:r>
          </w:p>
        </w:tc>
        <w:tc>
          <w:tcPr>
            <w:tcW w:w="487" w:type="pct"/>
            <w:shd w:val="clear" w:color="auto" w:fill="auto"/>
            <w:tcMar>
              <w:top w:w="57" w:type="dxa"/>
              <w:bottom w:w="57" w:type="dxa"/>
            </w:tcMar>
          </w:tcPr>
          <w:p w14:paraId="77E29CC2" w14:textId="01BA4301" w:rsidR="000A2ED8" w:rsidRPr="00B3357D" w:rsidRDefault="000A2ED8" w:rsidP="000A2ED8">
            <w:r>
              <w:t>Čl. 6 odst. 1</w:t>
            </w:r>
          </w:p>
        </w:tc>
        <w:tc>
          <w:tcPr>
            <w:tcW w:w="1753" w:type="pct"/>
            <w:shd w:val="clear" w:color="auto" w:fill="auto"/>
            <w:tcMar>
              <w:top w:w="57" w:type="dxa"/>
              <w:bottom w:w="57" w:type="dxa"/>
            </w:tcMar>
          </w:tcPr>
          <w:p w14:paraId="336FF205" w14:textId="7C868C48" w:rsidR="000A2ED8" w:rsidRDefault="000A2ED8" w:rsidP="000A2ED8">
            <w:pPr>
              <w:tabs>
                <w:tab w:val="left" w:pos="107"/>
              </w:tabs>
              <w:jc w:val="both"/>
            </w:pPr>
            <w:r w:rsidRPr="000A2ED8">
              <w:t>1.Do 30. prosince 2024 členské státy zřídí nebo určí jeden nebo více orgánů jako jednotná kontaktní místa na příslušné správní úrovni. Každé jednotné kontaktní místo je odpovědné za usnadnění a koordinaci povolovacího postupu u projektů výroby technologií pro nulové čisté emise, včetně strategických projektů pro nulové čisté emise, a za poskytování informací ohledně zjednodušení administrativních postupů v souladu s článkem 7, včetně informací o tom, kdy je žádost považována za úplnou v souladu s čl. 9 odst. 10.</w:t>
            </w:r>
          </w:p>
          <w:p w14:paraId="4BA4AB92" w14:textId="61A93555" w:rsidR="000A2ED8" w:rsidRPr="00B3357D" w:rsidRDefault="000A2ED8" w:rsidP="000A2ED8">
            <w:pPr>
              <w:tabs>
                <w:tab w:val="left" w:pos="107"/>
              </w:tabs>
              <w:jc w:val="both"/>
            </w:pPr>
          </w:p>
        </w:tc>
      </w:tr>
      <w:tr w:rsidR="000A2ED8" w:rsidRPr="005D452F" w14:paraId="2C884466" w14:textId="77777777" w:rsidTr="00A267C2">
        <w:tc>
          <w:tcPr>
            <w:tcW w:w="525" w:type="pct"/>
            <w:shd w:val="clear" w:color="auto" w:fill="auto"/>
            <w:tcMar>
              <w:top w:w="57" w:type="dxa"/>
              <w:bottom w:w="57" w:type="dxa"/>
            </w:tcMar>
          </w:tcPr>
          <w:p w14:paraId="4FF30145" w14:textId="0E5439CF" w:rsidR="000A2ED8" w:rsidRPr="00FB58A3" w:rsidRDefault="003926B0" w:rsidP="000A2ED8">
            <w:r>
              <w:lastRenderedPageBreak/>
              <w:t>§ 2 odst. 2</w:t>
            </w:r>
          </w:p>
        </w:tc>
        <w:tc>
          <w:tcPr>
            <w:tcW w:w="1693" w:type="pct"/>
            <w:shd w:val="clear" w:color="auto" w:fill="auto"/>
            <w:tcMar>
              <w:top w:w="57" w:type="dxa"/>
              <w:bottom w:w="57" w:type="dxa"/>
            </w:tcMar>
          </w:tcPr>
          <w:p w14:paraId="1297BAAE" w14:textId="05524FAB" w:rsidR="000A2ED8" w:rsidRPr="00CC41C6" w:rsidRDefault="00CC41C6" w:rsidP="00CC41C6">
            <w:pPr>
              <w:tabs>
                <w:tab w:val="left" w:pos="0"/>
              </w:tabs>
              <w:ind w:left="-51"/>
              <w:jc w:val="both"/>
              <w:rPr>
                <w:u w:val="single"/>
              </w:rPr>
            </w:pPr>
            <w:r w:rsidRPr="00CC41C6">
              <w:t>(2)</w:t>
            </w:r>
            <w:r w:rsidRPr="00CC41C6">
              <w:tab/>
            </w:r>
            <w:r w:rsidRPr="00CC41C6">
              <w:rPr>
                <w:u w:val="single"/>
              </w:rPr>
              <w:t xml:space="preserve">Ministerstvo </w:t>
            </w:r>
            <w:bookmarkStart w:id="0" w:name="_Hlk188278515"/>
            <w:r w:rsidRPr="00CC41C6">
              <w:rPr>
                <w:u w:val="single"/>
              </w:rPr>
              <w:t>plní povinnosti a vykonává pravomoci stanovené členským státům v čl. 6 odst. 6, čl. 7, čl. 15 odst. 1, čl. 26, čl. 28 odst. 5, čl. 36 odst. 2, čl. 37 odst. 2, čl. 39 odst. 2, čl. 41, čl. 42 odst. 2 a 3 a čl. 46 odst. 5 nařízení Evropského parlamentu a Rady (EU) 2024/1735.</w:t>
            </w:r>
            <w:bookmarkEnd w:id="0"/>
          </w:p>
        </w:tc>
        <w:tc>
          <w:tcPr>
            <w:tcW w:w="542" w:type="pct"/>
            <w:shd w:val="clear" w:color="auto" w:fill="auto"/>
            <w:tcMar>
              <w:top w:w="57" w:type="dxa"/>
              <w:bottom w:w="57" w:type="dxa"/>
            </w:tcMar>
          </w:tcPr>
          <w:p w14:paraId="61E17169" w14:textId="4ACB0CE6" w:rsidR="000A2ED8" w:rsidRPr="00163132" w:rsidRDefault="000A2ED8" w:rsidP="000A2ED8">
            <w:r w:rsidRPr="00163132">
              <w:rPr>
                <w:color w:val="333333"/>
                <w:shd w:val="clear" w:color="auto" w:fill="FFFFFF"/>
              </w:rPr>
              <w:t> 32024R1735</w:t>
            </w:r>
          </w:p>
        </w:tc>
        <w:tc>
          <w:tcPr>
            <w:tcW w:w="487" w:type="pct"/>
            <w:shd w:val="clear" w:color="auto" w:fill="auto"/>
            <w:tcMar>
              <w:top w:w="57" w:type="dxa"/>
              <w:bottom w:w="57" w:type="dxa"/>
            </w:tcMar>
          </w:tcPr>
          <w:p w14:paraId="20C8BEEF" w14:textId="66B04C90" w:rsidR="000A2ED8" w:rsidRPr="00B3357D" w:rsidRDefault="000A2ED8" w:rsidP="000A2ED8">
            <w:r>
              <w:t xml:space="preserve">Čl. 6 odst. 2 </w:t>
            </w:r>
          </w:p>
        </w:tc>
        <w:tc>
          <w:tcPr>
            <w:tcW w:w="1753" w:type="pct"/>
            <w:shd w:val="clear" w:color="auto" w:fill="auto"/>
            <w:tcMar>
              <w:top w:w="57" w:type="dxa"/>
              <w:bottom w:w="57" w:type="dxa"/>
            </w:tcMar>
          </w:tcPr>
          <w:p w14:paraId="35FFAC78" w14:textId="4A12B986" w:rsidR="000A2ED8" w:rsidRPr="00B3357D" w:rsidRDefault="000A2ED8" w:rsidP="000A2ED8">
            <w:pPr>
              <w:tabs>
                <w:tab w:val="left" w:pos="107"/>
              </w:tabs>
              <w:jc w:val="both"/>
            </w:pPr>
            <w:r w:rsidRPr="000A2ED8">
              <w:t>2.Pokud členský stát zřídí nebo určí více než jedno jednotné kontaktní místo podle odstavce 1 tohoto článku, poskytne nástroje, které předkladatelům projektů pomohou určit vhodné zavedené nebo určené kontaktní místo na internetové stránce zřízené v souladu s článkem 7.</w:t>
            </w:r>
          </w:p>
        </w:tc>
      </w:tr>
      <w:tr w:rsidR="001D6191" w:rsidRPr="005D452F" w14:paraId="1EB1F77B" w14:textId="77777777" w:rsidTr="00A267C2">
        <w:tc>
          <w:tcPr>
            <w:tcW w:w="525" w:type="pct"/>
            <w:shd w:val="clear" w:color="auto" w:fill="auto"/>
            <w:tcMar>
              <w:top w:w="57" w:type="dxa"/>
              <w:bottom w:w="57" w:type="dxa"/>
            </w:tcMar>
          </w:tcPr>
          <w:p w14:paraId="5E1F79A3" w14:textId="6E209B50" w:rsidR="001D6191" w:rsidRPr="00FB58A3" w:rsidRDefault="003926B0" w:rsidP="001D6191">
            <w:r>
              <w:t>§ 2 odst. 2</w:t>
            </w:r>
          </w:p>
        </w:tc>
        <w:tc>
          <w:tcPr>
            <w:tcW w:w="1693" w:type="pct"/>
            <w:shd w:val="clear" w:color="auto" w:fill="auto"/>
            <w:tcMar>
              <w:top w:w="57" w:type="dxa"/>
              <w:bottom w:w="57" w:type="dxa"/>
            </w:tcMar>
          </w:tcPr>
          <w:p w14:paraId="788A53E1" w14:textId="6E7B2549" w:rsidR="001D6191" w:rsidRPr="00CC41C6" w:rsidRDefault="00CC41C6" w:rsidP="00CC41C6">
            <w:pPr>
              <w:tabs>
                <w:tab w:val="left" w:pos="0"/>
              </w:tabs>
              <w:ind w:left="-51"/>
              <w:jc w:val="both"/>
              <w:rPr>
                <w:u w:val="single"/>
              </w:rPr>
            </w:pPr>
            <w:r w:rsidRPr="00CC41C6">
              <w:t>(2)</w:t>
            </w:r>
            <w:r w:rsidRPr="00CC41C6">
              <w:tab/>
            </w:r>
            <w:r w:rsidRPr="00CC41C6">
              <w:rPr>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6DC0E4A2" w14:textId="349F4C3C" w:rsidR="001D6191" w:rsidRPr="00B3357D" w:rsidRDefault="001D6191" w:rsidP="001D6191">
            <w:r w:rsidRPr="00163132">
              <w:rPr>
                <w:color w:val="333333"/>
                <w:shd w:val="clear" w:color="auto" w:fill="FFFFFF"/>
              </w:rPr>
              <w:t>32024R1735</w:t>
            </w:r>
          </w:p>
        </w:tc>
        <w:tc>
          <w:tcPr>
            <w:tcW w:w="487" w:type="pct"/>
            <w:shd w:val="clear" w:color="auto" w:fill="auto"/>
            <w:tcMar>
              <w:top w:w="57" w:type="dxa"/>
              <w:bottom w:w="57" w:type="dxa"/>
            </w:tcMar>
          </w:tcPr>
          <w:p w14:paraId="1C100B79" w14:textId="3FE5819A" w:rsidR="001D6191" w:rsidRPr="00B3357D" w:rsidRDefault="001D6191" w:rsidP="001D6191">
            <w:pPr>
              <w:tabs>
                <w:tab w:val="left" w:pos="107"/>
              </w:tabs>
              <w:jc w:val="both"/>
            </w:pPr>
            <w:r>
              <w:t>Čl. 6 odst. 5</w:t>
            </w:r>
          </w:p>
        </w:tc>
        <w:tc>
          <w:tcPr>
            <w:tcW w:w="1753" w:type="pct"/>
            <w:shd w:val="clear" w:color="auto" w:fill="auto"/>
            <w:tcMar>
              <w:top w:w="57" w:type="dxa"/>
              <w:bottom w:w="57" w:type="dxa"/>
            </w:tcMar>
          </w:tcPr>
          <w:p w14:paraId="2E94D4BC" w14:textId="4E121250" w:rsidR="001D6191" w:rsidRPr="008644D9" w:rsidRDefault="001D6191" w:rsidP="001D6191">
            <w:pPr>
              <w:tabs>
                <w:tab w:val="left" w:pos="107"/>
              </w:tabs>
              <w:jc w:val="both"/>
            </w:pPr>
            <w:r w:rsidRPr="008644D9">
              <w:t>5. Příslušné orgány zajistí, aby byly zohledněny veškeré relevantní provedené studie nebo povolení či oprávnění vydaná pro daný projekt a aby nebyly vyžadovány žádné duplicitní studie, povolení či oprávnění, pokud unijní nebo vnitrostátní právo neurčuje jinak.</w:t>
            </w:r>
          </w:p>
        </w:tc>
      </w:tr>
      <w:tr w:rsidR="001D6191" w:rsidRPr="005D452F" w14:paraId="43CA0133" w14:textId="77777777" w:rsidTr="00A267C2">
        <w:tc>
          <w:tcPr>
            <w:tcW w:w="525" w:type="pct"/>
            <w:shd w:val="clear" w:color="auto" w:fill="auto"/>
            <w:tcMar>
              <w:top w:w="57" w:type="dxa"/>
              <w:bottom w:w="57" w:type="dxa"/>
            </w:tcMar>
          </w:tcPr>
          <w:p w14:paraId="62C2D0FA" w14:textId="566E318D" w:rsidR="001D6191" w:rsidRPr="00FB58A3" w:rsidRDefault="003926B0" w:rsidP="001D6191">
            <w:r>
              <w:t>§ 2 odst. 2</w:t>
            </w:r>
          </w:p>
        </w:tc>
        <w:tc>
          <w:tcPr>
            <w:tcW w:w="1693" w:type="pct"/>
            <w:shd w:val="clear" w:color="auto" w:fill="auto"/>
            <w:tcMar>
              <w:top w:w="57" w:type="dxa"/>
              <w:bottom w:w="57" w:type="dxa"/>
            </w:tcMar>
          </w:tcPr>
          <w:p w14:paraId="66D7E813" w14:textId="072340D7" w:rsidR="001D6191" w:rsidRPr="00CC41C6" w:rsidRDefault="00CC41C6" w:rsidP="00CC41C6">
            <w:pPr>
              <w:tabs>
                <w:tab w:val="left" w:pos="0"/>
              </w:tabs>
              <w:ind w:left="-51"/>
              <w:jc w:val="both"/>
              <w:rPr>
                <w:u w:val="single"/>
              </w:rPr>
            </w:pPr>
            <w:r w:rsidRPr="00CC41C6">
              <w:t>(2)</w:t>
            </w:r>
            <w:r w:rsidRPr="00CC41C6">
              <w:tab/>
            </w:r>
            <w:r w:rsidRPr="00CC41C6">
              <w:rPr>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03EF1844" w14:textId="5E3C78F4" w:rsidR="001D6191" w:rsidRPr="00B3357D" w:rsidRDefault="001D6191" w:rsidP="001D6191">
            <w:r w:rsidRPr="00163132">
              <w:rPr>
                <w:color w:val="333333"/>
                <w:shd w:val="clear" w:color="auto" w:fill="FFFFFF"/>
              </w:rPr>
              <w:t>32024R1735</w:t>
            </w:r>
          </w:p>
        </w:tc>
        <w:tc>
          <w:tcPr>
            <w:tcW w:w="487" w:type="pct"/>
            <w:shd w:val="clear" w:color="auto" w:fill="auto"/>
            <w:tcMar>
              <w:top w:w="57" w:type="dxa"/>
              <w:bottom w:w="57" w:type="dxa"/>
            </w:tcMar>
          </w:tcPr>
          <w:p w14:paraId="0682A9BF" w14:textId="5961E44B" w:rsidR="001D6191" w:rsidRPr="00B3357D" w:rsidRDefault="001D6191" w:rsidP="001D6191">
            <w:pPr>
              <w:tabs>
                <w:tab w:val="left" w:pos="107"/>
              </w:tabs>
              <w:jc w:val="both"/>
            </w:pPr>
            <w:r>
              <w:t>Čl. 6 odst. 6</w:t>
            </w:r>
          </w:p>
        </w:tc>
        <w:tc>
          <w:tcPr>
            <w:tcW w:w="1753" w:type="pct"/>
            <w:shd w:val="clear" w:color="auto" w:fill="auto"/>
            <w:tcMar>
              <w:top w:w="57" w:type="dxa"/>
              <w:bottom w:w="57" w:type="dxa"/>
            </w:tcMar>
          </w:tcPr>
          <w:p w14:paraId="5DB6AAF9" w14:textId="2F567B16" w:rsidR="001D6191" w:rsidRPr="008644D9" w:rsidRDefault="001D6191" w:rsidP="001D6191">
            <w:pPr>
              <w:tabs>
                <w:tab w:val="left" w:pos="107"/>
              </w:tabs>
              <w:jc w:val="both"/>
            </w:pPr>
            <w:r w:rsidRPr="008644D9">
              <w:t>6. Členské státy zajistí, aby žadatelé měli snadný přístup k informacím o řešení sporů týkajících se povolovacího postupu a k souvisejícím postupům, a to případně i k mechanismům alternativního řešení sporů, pokud jsou tyto postupy vnitrostátním právem stanoveny.</w:t>
            </w:r>
          </w:p>
        </w:tc>
      </w:tr>
      <w:tr w:rsidR="001D6191" w:rsidRPr="005D452F" w14:paraId="3BF9A5D0" w14:textId="77777777" w:rsidTr="00A267C2">
        <w:tc>
          <w:tcPr>
            <w:tcW w:w="525" w:type="pct"/>
            <w:shd w:val="clear" w:color="auto" w:fill="auto"/>
            <w:tcMar>
              <w:top w:w="57" w:type="dxa"/>
              <w:bottom w:w="57" w:type="dxa"/>
            </w:tcMar>
          </w:tcPr>
          <w:p w14:paraId="61EDE54F" w14:textId="7BACB9A0" w:rsidR="001D6191" w:rsidRPr="00FB58A3" w:rsidRDefault="00D475A7" w:rsidP="001D6191">
            <w:r>
              <w:t>§ 2 odst. 2</w:t>
            </w:r>
          </w:p>
        </w:tc>
        <w:tc>
          <w:tcPr>
            <w:tcW w:w="1693" w:type="pct"/>
            <w:shd w:val="clear" w:color="auto" w:fill="auto"/>
            <w:tcMar>
              <w:top w:w="57" w:type="dxa"/>
              <w:bottom w:w="57" w:type="dxa"/>
            </w:tcMar>
          </w:tcPr>
          <w:p w14:paraId="504A5657" w14:textId="77777777" w:rsidR="00CC41C6" w:rsidRPr="00CC41C6" w:rsidRDefault="00CC41C6" w:rsidP="00CC41C6">
            <w:pPr>
              <w:tabs>
                <w:tab w:val="left" w:pos="0"/>
              </w:tabs>
              <w:ind w:left="-51"/>
              <w:jc w:val="both"/>
              <w:rPr>
                <w:u w:val="single"/>
              </w:rPr>
            </w:pPr>
            <w:r w:rsidRPr="00CC41C6">
              <w:t>(2)</w:t>
            </w:r>
            <w:r w:rsidRPr="00CC41C6">
              <w:tab/>
            </w:r>
            <w:r w:rsidRPr="00CC41C6">
              <w:rPr>
                <w:u w:val="single"/>
              </w:rPr>
              <w:t xml:space="preserve">Ministerstvo plní povinnosti a vykonává pravomoci stanovené členským státům v čl. 6 odst. 6, čl. 7, čl. 15 odst. 1, čl. 26, čl. 28 odst. 5, čl. 36 odst. 2, čl. 37 odst. 2, čl. 39 odst. 2, čl. 41, čl. 42 odst. 2 a 3 a čl. 46 odst. 5 </w:t>
            </w:r>
            <w:r w:rsidRPr="00CC41C6">
              <w:rPr>
                <w:u w:val="single"/>
              </w:rPr>
              <w:lastRenderedPageBreak/>
              <w:t>nařízení Evropského parlamentu a Rady (EU) 2024/1735.</w:t>
            </w:r>
          </w:p>
          <w:p w14:paraId="7E82F29E" w14:textId="52B56636" w:rsidR="001D6191" w:rsidRDefault="001D6191" w:rsidP="001D6191">
            <w:pPr>
              <w:tabs>
                <w:tab w:val="left" w:pos="0"/>
              </w:tabs>
              <w:ind w:left="-51"/>
              <w:jc w:val="both"/>
            </w:pPr>
          </w:p>
        </w:tc>
        <w:tc>
          <w:tcPr>
            <w:tcW w:w="542" w:type="pct"/>
            <w:shd w:val="clear" w:color="auto" w:fill="auto"/>
            <w:tcMar>
              <w:top w:w="57" w:type="dxa"/>
              <w:bottom w:w="57" w:type="dxa"/>
            </w:tcMar>
          </w:tcPr>
          <w:p w14:paraId="00A29F53" w14:textId="2F9D949C" w:rsidR="001D6191" w:rsidRPr="00163132" w:rsidRDefault="001D6191" w:rsidP="001D6191">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79C6D371" w14:textId="1F9C7BC5" w:rsidR="001D6191" w:rsidRDefault="001D6191" w:rsidP="001D6191">
            <w:pPr>
              <w:pStyle w:val="Default"/>
              <w:tabs>
                <w:tab w:val="left" w:pos="107"/>
              </w:tabs>
              <w:jc w:val="both"/>
            </w:pPr>
            <w:r>
              <w:t>Čl. 7</w:t>
            </w:r>
          </w:p>
        </w:tc>
        <w:tc>
          <w:tcPr>
            <w:tcW w:w="1753" w:type="pct"/>
            <w:shd w:val="clear" w:color="auto" w:fill="auto"/>
            <w:tcMar>
              <w:top w:w="57" w:type="dxa"/>
              <w:bottom w:w="57" w:type="dxa"/>
            </w:tcMar>
          </w:tcPr>
          <w:p w14:paraId="687D8232"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Dostupnost informací online</w:t>
            </w:r>
          </w:p>
          <w:p w14:paraId="31F89873"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 xml:space="preserve">Členské státy poskytují online a centralizovaným a snadno přístupným způsobem přístup k následujícím informacím o postupech týkajících se projektů výroby technologií pro nulové čisté </w:t>
            </w:r>
            <w:r w:rsidRPr="003B5562">
              <w:rPr>
                <w:rFonts w:ascii="Times New Roman" w:hAnsi="Times New Roman" w:cs="Times New Roman"/>
              </w:rPr>
              <w:lastRenderedPageBreak/>
              <w:t>emise, včetně strategických projektů pro nulové čisté emise:</w:t>
            </w:r>
          </w:p>
          <w:p w14:paraId="28FD36EA"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a) jednotné kontaktní místo podle čl. 6 odst. 1;</w:t>
            </w:r>
          </w:p>
          <w:p w14:paraId="15307F42"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b) povolovací postup, včetně informací o řešení sporů;</w:t>
            </w:r>
          </w:p>
          <w:p w14:paraId="008ECF10"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c) finanční a investiční služby;</w:t>
            </w:r>
          </w:p>
          <w:p w14:paraId="01AA4241" w14:textId="77777777" w:rsidR="001D6191" w:rsidRPr="003B5562"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d) možnosti financování na úrovni Unie nebo členských států;</w:t>
            </w:r>
          </w:p>
          <w:p w14:paraId="5BAAA144" w14:textId="7BBC55E2" w:rsidR="001D6191" w:rsidRPr="008644D9" w:rsidRDefault="001D6191" w:rsidP="001D6191">
            <w:pPr>
              <w:pStyle w:val="Default"/>
              <w:tabs>
                <w:tab w:val="left" w:pos="107"/>
              </w:tabs>
              <w:jc w:val="both"/>
              <w:rPr>
                <w:rFonts w:ascii="Times New Roman" w:hAnsi="Times New Roman" w:cs="Times New Roman"/>
              </w:rPr>
            </w:pPr>
            <w:r w:rsidRPr="003B5562">
              <w:rPr>
                <w:rFonts w:ascii="Times New Roman" w:hAnsi="Times New Roman" w:cs="Times New Roman"/>
              </w:rPr>
              <w:t>e) podpůrné služby pro podniky, mimo jiné včetně přiznání k dani z příjmu právnických osob, místních daňových právních předpisů nebo pracovního práva.</w:t>
            </w:r>
          </w:p>
        </w:tc>
      </w:tr>
      <w:tr w:rsidR="001D6191" w:rsidRPr="005D452F" w14:paraId="6D19E6B3" w14:textId="77777777" w:rsidTr="00A267C2">
        <w:tc>
          <w:tcPr>
            <w:tcW w:w="525" w:type="pct"/>
            <w:shd w:val="clear" w:color="auto" w:fill="auto"/>
            <w:tcMar>
              <w:top w:w="57" w:type="dxa"/>
              <w:bottom w:w="57" w:type="dxa"/>
            </w:tcMar>
          </w:tcPr>
          <w:p w14:paraId="5D4CEBE3" w14:textId="2096077C" w:rsidR="001D6191" w:rsidRPr="00FB58A3" w:rsidRDefault="00D475A7" w:rsidP="001D6191">
            <w:r>
              <w:lastRenderedPageBreak/>
              <w:t xml:space="preserve">§ 2 odst. </w:t>
            </w:r>
            <w:r w:rsidR="000C27EE">
              <w:t>5</w:t>
            </w:r>
          </w:p>
        </w:tc>
        <w:tc>
          <w:tcPr>
            <w:tcW w:w="1693" w:type="pct"/>
            <w:shd w:val="clear" w:color="auto" w:fill="auto"/>
            <w:tcMar>
              <w:top w:w="57" w:type="dxa"/>
              <w:bottom w:w="57" w:type="dxa"/>
            </w:tcMar>
          </w:tcPr>
          <w:p w14:paraId="5301F601" w14:textId="77777777" w:rsidR="000C27EE" w:rsidRPr="000C27EE" w:rsidRDefault="000C27EE" w:rsidP="000C27EE">
            <w:pPr>
              <w:tabs>
                <w:tab w:val="left" w:pos="0"/>
              </w:tabs>
              <w:ind w:left="-51"/>
              <w:jc w:val="both"/>
              <w:rPr>
                <w:color w:val="000000" w:themeColor="text1"/>
                <w:u w:val="single"/>
              </w:rPr>
            </w:pPr>
            <w:r w:rsidRPr="000C27EE">
              <w:rPr>
                <w:color w:val="000000" w:themeColor="text1"/>
              </w:rPr>
              <w:t>(5)</w:t>
            </w:r>
            <w:r w:rsidRPr="000C27EE">
              <w:rPr>
                <w:color w:val="000000" w:themeColor="text1"/>
              </w:rPr>
              <w:tab/>
            </w:r>
            <w:r w:rsidRPr="000C27EE">
              <w:rPr>
                <w:color w:val="000000" w:themeColor="text1"/>
                <w:u w:val="single"/>
              </w:rPr>
              <w:t>Agentura pro podporu podnikání a investic CzechInvest plní a vykonává pravomoci stanovené členským státům v čl. 8 nařízení Evropského parlamentu a Rady (EU) 2024/1735.</w:t>
            </w:r>
          </w:p>
          <w:p w14:paraId="6B0245EB" w14:textId="49A11D00" w:rsidR="001D6191" w:rsidRPr="00B577BC" w:rsidRDefault="001D6191" w:rsidP="000C27EE">
            <w:pPr>
              <w:tabs>
                <w:tab w:val="left" w:pos="0"/>
              </w:tabs>
              <w:ind w:left="-51"/>
              <w:jc w:val="both"/>
              <w:rPr>
                <w:color w:val="FF0000"/>
              </w:rPr>
            </w:pPr>
          </w:p>
        </w:tc>
        <w:tc>
          <w:tcPr>
            <w:tcW w:w="542" w:type="pct"/>
            <w:shd w:val="clear" w:color="auto" w:fill="auto"/>
            <w:tcMar>
              <w:top w:w="57" w:type="dxa"/>
              <w:bottom w:w="57" w:type="dxa"/>
            </w:tcMar>
          </w:tcPr>
          <w:p w14:paraId="51413C22" w14:textId="44E56697" w:rsidR="001D6191" w:rsidRPr="00163132" w:rsidRDefault="001D6191" w:rsidP="001D6191">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4EACD69E" w14:textId="7189AD14" w:rsidR="001D6191" w:rsidRDefault="001D6191" w:rsidP="001D6191">
            <w:pPr>
              <w:pStyle w:val="Default"/>
              <w:tabs>
                <w:tab w:val="left" w:pos="107"/>
              </w:tabs>
              <w:jc w:val="both"/>
            </w:pPr>
            <w:r>
              <w:t>Čl. 8</w:t>
            </w:r>
          </w:p>
        </w:tc>
        <w:tc>
          <w:tcPr>
            <w:tcW w:w="1753" w:type="pct"/>
            <w:shd w:val="clear" w:color="auto" w:fill="auto"/>
            <w:tcMar>
              <w:top w:w="57" w:type="dxa"/>
              <w:bottom w:w="57" w:type="dxa"/>
            </w:tcMar>
          </w:tcPr>
          <w:p w14:paraId="136E5F0A" w14:textId="77777777" w:rsidR="001D6191" w:rsidRPr="00B577BC" w:rsidRDefault="001D6191" w:rsidP="001D6191">
            <w:pPr>
              <w:pStyle w:val="Default"/>
              <w:tabs>
                <w:tab w:val="left" w:pos="107"/>
              </w:tabs>
              <w:jc w:val="both"/>
              <w:rPr>
                <w:rFonts w:ascii="Times New Roman" w:hAnsi="Times New Roman" w:cs="Times New Roman"/>
              </w:rPr>
            </w:pPr>
            <w:r w:rsidRPr="00B577BC">
              <w:rPr>
                <w:rFonts w:ascii="Times New Roman" w:hAnsi="Times New Roman" w:cs="Times New Roman"/>
              </w:rPr>
              <w:t>Urychlení realizace</w:t>
            </w:r>
          </w:p>
          <w:p w14:paraId="0C40BF67" w14:textId="77777777" w:rsidR="001D6191" w:rsidRPr="00B577BC" w:rsidRDefault="001D6191" w:rsidP="001D6191">
            <w:pPr>
              <w:pStyle w:val="Default"/>
              <w:tabs>
                <w:tab w:val="left" w:pos="107"/>
              </w:tabs>
              <w:jc w:val="both"/>
              <w:rPr>
                <w:rFonts w:ascii="Times New Roman" w:hAnsi="Times New Roman" w:cs="Times New Roman"/>
              </w:rPr>
            </w:pPr>
            <w:r w:rsidRPr="00B577BC">
              <w:rPr>
                <w:rFonts w:ascii="Times New Roman" w:hAnsi="Times New Roman" w:cs="Times New Roman"/>
              </w:rPr>
              <w:t>Členské státy poskytují administrativní podporu projektům výroby technologií pro nulové čisté emise, jež jsou realizovány na jejich území, s cílem usnadnit jejich včasné a účinné provádění, přičemž zvláštní pozornost věnují malým a středním podnikům zapojeným do těchto projektů, včetně toho, že poskytují:</w:t>
            </w:r>
          </w:p>
          <w:p w14:paraId="2AFB91CF" w14:textId="77777777" w:rsidR="001D6191" w:rsidRPr="00B577BC" w:rsidRDefault="001D6191" w:rsidP="001D6191">
            <w:pPr>
              <w:pStyle w:val="Default"/>
              <w:tabs>
                <w:tab w:val="left" w:pos="107"/>
              </w:tabs>
              <w:jc w:val="both"/>
              <w:rPr>
                <w:rFonts w:ascii="Times New Roman" w:hAnsi="Times New Roman" w:cs="Times New Roman"/>
              </w:rPr>
            </w:pPr>
            <w:r w:rsidRPr="00B577BC">
              <w:rPr>
                <w:rFonts w:ascii="Times New Roman" w:hAnsi="Times New Roman" w:cs="Times New Roman"/>
              </w:rPr>
              <w:t>a) pomoc při zajištění dodržování platných správních povinností a povinností týkajících se podávání zpráv;</w:t>
            </w:r>
          </w:p>
          <w:p w14:paraId="10157F4E" w14:textId="77777777" w:rsidR="001D6191" w:rsidRPr="00B577BC" w:rsidRDefault="001D6191" w:rsidP="001D6191">
            <w:pPr>
              <w:pStyle w:val="Default"/>
              <w:tabs>
                <w:tab w:val="left" w:pos="107"/>
              </w:tabs>
              <w:jc w:val="both"/>
              <w:rPr>
                <w:rFonts w:ascii="Times New Roman" w:hAnsi="Times New Roman" w:cs="Times New Roman"/>
              </w:rPr>
            </w:pPr>
            <w:r w:rsidRPr="00B577BC">
              <w:rPr>
                <w:rFonts w:ascii="Times New Roman" w:hAnsi="Times New Roman" w:cs="Times New Roman"/>
              </w:rPr>
              <w:t>b) pomoc předkladatelům projektů za účelem informování veřejnosti v zájmu lepšího přijetí projektu ze strany veřejnosti;</w:t>
            </w:r>
          </w:p>
          <w:p w14:paraId="57B24550" w14:textId="23C1834B" w:rsidR="001D6191" w:rsidRPr="003B5562" w:rsidRDefault="001D6191" w:rsidP="001D6191">
            <w:pPr>
              <w:pStyle w:val="Default"/>
              <w:tabs>
                <w:tab w:val="left" w:pos="107"/>
              </w:tabs>
              <w:jc w:val="both"/>
              <w:rPr>
                <w:rFonts w:ascii="Times New Roman" w:hAnsi="Times New Roman" w:cs="Times New Roman"/>
              </w:rPr>
            </w:pPr>
            <w:r w:rsidRPr="00B577BC">
              <w:rPr>
                <w:rFonts w:ascii="Times New Roman" w:hAnsi="Times New Roman" w:cs="Times New Roman"/>
              </w:rPr>
              <w:t>c) pomoc předkladatelům projektů v průběhu povolovacího postupu, zejména malým a středním podnikům.</w:t>
            </w:r>
          </w:p>
        </w:tc>
      </w:tr>
      <w:tr w:rsidR="001D6191" w:rsidRPr="005D452F" w14:paraId="18B38E56" w14:textId="77777777" w:rsidTr="00A267C2">
        <w:tc>
          <w:tcPr>
            <w:tcW w:w="525" w:type="pct"/>
            <w:shd w:val="clear" w:color="auto" w:fill="auto"/>
            <w:tcMar>
              <w:top w:w="57" w:type="dxa"/>
              <w:bottom w:w="57" w:type="dxa"/>
            </w:tcMar>
          </w:tcPr>
          <w:p w14:paraId="3970A042" w14:textId="5280B2F4" w:rsidR="001D6191" w:rsidRDefault="003811E4" w:rsidP="001D6191">
            <w:r>
              <w:t xml:space="preserve">§ 3 odst. </w:t>
            </w:r>
            <w:r w:rsidR="0063242D">
              <w:t>4</w:t>
            </w:r>
            <w:r>
              <w:t xml:space="preserve"> písm. </w:t>
            </w:r>
            <w:r w:rsidR="002F6B6C">
              <w:t>c</w:t>
            </w:r>
            <w:r>
              <w:t>)</w:t>
            </w:r>
          </w:p>
          <w:p w14:paraId="71C28FD4" w14:textId="77777777" w:rsidR="00817A05" w:rsidRDefault="00817A05" w:rsidP="001D6191"/>
          <w:p w14:paraId="440C039D" w14:textId="77777777" w:rsidR="00817A05" w:rsidRDefault="00817A05" w:rsidP="001D6191"/>
          <w:p w14:paraId="65E042D4" w14:textId="77777777" w:rsidR="00817A05" w:rsidRDefault="00817A05" w:rsidP="001D6191"/>
          <w:p w14:paraId="6B2DFB78" w14:textId="77777777" w:rsidR="00817A05" w:rsidRDefault="00817A05" w:rsidP="001D6191"/>
          <w:p w14:paraId="6D42C3FD" w14:textId="77777777" w:rsidR="00817A05" w:rsidRDefault="00817A05" w:rsidP="001D6191"/>
          <w:p w14:paraId="58EE77BC" w14:textId="77777777" w:rsidR="002F6B6C" w:rsidRDefault="002F6B6C" w:rsidP="001D6191"/>
          <w:p w14:paraId="3A9D45C2" w14:textId="77777777" w:rsidR="002F6B6C" w:rsidRDefault="002F6B6C" w:rsidP="001D6191"/>
          <w:p w14:paraId="1672F9A3" w14:textId="4F74458E" w:rsidR="00817A05" w:rsidRPr="00FB58A3" w:rsidRDefault="00817A05" w:rsidP="001D6191">
            <w:r>
              <w:t xml:space="preserve">§ 196 odst. 2 zákona č. 283/2021 Sb., stavební zákon  </w:t>
            </w:r>
          </w:p>
        </w:tc>
        <w:tc>
          <w:tcPr>
            <w:tcW w:w="1693" w:type="pct"/>
            <w:shd w:val="clear" w:color="auto" w:fill="auto"/>
            <w:tcMar>
              <w:top w:w="57" w:type="dxa"/>
              <w:bottom w:w="57" w:type="dxa"/>
            </w:tcMar>
          </w:tcPr>
          <w:p w14:paraId="14F3AEA0" w14:textId="6CA8C8CE" w:rsidR="003811E4" w:rsidRPr="00F522AF" w:rsidRDefault="003811E4" w:rsidP="001D6191">
            <w:pPr>
              <w:tabs>
                <w:tab w:val="left" w:pos="0"/>
              </w:tabs>
              <w:ind w:left="-51"/>
              <w:jc w:val="both"/>
              <w:rPr>
                <w:color w:val="000000" w:themeColor="text1"/>
                <w:u w:val="single"/>
              </w:rPr>
            </w:pPr>
            <w:r w:rsidRPr="00514AA6">
              <w:rPr>
                <w:color w:val="000000" w:themeColor="text1"/>
              </w:rPr>
              <w:lastRenderedPageBreak/>
              <w:t>(</w:t>
            </w:r>
            <w:r w:rsidR="0063242D">
              <w:rPr>
                <w:color w:val="000000" w:themeColor="text1"/>
              </w:rPr>
              <w:t>4</w:t>
            </w:r>
            <w:r w:rsidRPr="00514AA6">
              <w:rPr>
                <w:color w:val="000000" w:themeColor="text1"/>
              </w:rPr>
              <w:t>)</w:t>
            </w:r>
            <w:r w:rsidRPr="002F6B6C">
              <w:rPr>
                <w:color w:val="000000" w:themeColor="text1"/>
              </w:rPr>
              <w:tab/>
            </w:r>
            <w:r w:rsidRPr="00F522AF">
              <w:rPr>
                <w:color w:val="000000" w:themeColor="text1"/>
                <w:u w:val="single"/>
              </w:rPr>
              <w:t>Jednotné kontaktní místo</w:t>
            </w:r>
          </w:p>
          <w:p w14:paraId="0D1E164D" w14:textId="4DAF971F" w:rsidR="003811E4" w:rsidRDefault="003811E4" w:rsidP="001D6191">
            <w:pPr>
              <w:tabs>
                <w:tab w:val="left" w:pos="0"/>
              </w:tabs>
              <w:ind w:left="-51"/>
              <w:jc w:val="both"/>
              <w:rPr>
                <w:color w:val="000000" w:themeColor="text1"/>
              </w:rPr>
            </w:pPr>
            <w:r w:rsidRPr="00F522AF">
              <w:rPr>
                <w:color w:val="000000" w:themeColor="text1"/>
                <w:u w:val="single"/>
              </w:rPr>
              <w:lastRenderedPageBreak/>
              <w:t xml:space="preserve">c) </w:t>
            </w:r>
            <w:r w:rsidRPr="00F522AF">
              <w:rPr>
                <w:color w:val="000000" w:themeColor="text1"/>
                <w:u w:val="single"/>
              </w:rPr>
              <w:tab/>
              <w:t xml:space="preserve">s výjimkou odstavce </w:t>
            </w:r>
            <w:r w:rsidR="002F6B6C">
              <w:rPr>
                <w:color w:val="000000" w:themeColor="text1"/>
                <w:u w:val="single"/>
              </w:rPr>
              <w:t>3</w:t>
            </w:r>
            <w:r w:rsidRPr="00F522AF">
              <w:rPr>
                <w:color w:val="000000" w:themeColor="text1"/>
                <w:u w:val="single"/>
              </w:rPr>
              <w:t xml:space="preserve"> je jednotné kontaktní místo stavebním úřadem podle jiného právního předpisu</w:t>
            </w:r>
            <w:r w:rsidR="00817A05" w:rsidRPr="00F522AF">
              <w:rPr>
                <w:color w:val="000000" w:themeColor="text1"/>
                <w:u w:val="single"/>
                <w:vertAlign w:val="superscript"/>
              </w:rPr>
              <w:t>2)</w:t>
            </w:r>
            <w:r w:rsidRPr="003811E4">
              <w:rPr>
                <w:color w:val="000000" w:themeColor="text1"/>
              </w:rPr>
              <w:t>.</w:t>
            </w:r>
          </w:p>
          <w:p w14:paraId="3D443638" w14:textId="77777777" w:rsidR="002F6B6C" w:rsidRDefault="002F6B6C" w:rsidP="001D6191">
            <w:pPr>
              <w:tabs>
                <w:tab w:val="left" w:pos="0"/>
              </w:tabs>
              <w:ind w:left="-51"/>
              <w:jc w:val="both"/>
              <w:rPr>
                <w:color w:val="000000" w:themeColor="text1"/>
                <w:vertAlign w:val="superscript"/>
              </w:rPr>
            </w:pPr>
          </w:p>
          <w:p w14:paraId="28AF248F" w14:textId="433AAE79" w:rsidR="00817A05" w:rsidRPr="00817A05" w:rsidRDefault="00817A05" w:rsidP="001D6191">
            <w:pPr>
              <w:tabs>
                <w:tab w:val="left" w:pos="0"/>
              </w:tabs>
              <w:ind w:left="-51"/>
              <w:jc w:val="both"/>
              <w:rPr>
                <w:color w:val="000000" w:themeColor="text1"/>
              </w:rPr>
            </w:pPr>
            <w:r w:rsidRPr="00817A05">
              <w:rPr>
                <w:color w:val="000000" w:themeColor="text1"/>
                <w:vertAlign w:val="superscript"/>
              </w:rPr>
              <w:t xml:space="preserve">2) </w:t>
            </w:r>
            <w:r w:rsidRPr="00817A05">
              <w:rPr>
                <w:color w:val="000000" w:themeColor="text1"/>
              </w:rPr>
              <w:t>zákon č. 283/2021 Sb., stavební zákon, ve znění pozdějších předpisů.</w:t>
            </w:r>
          </w:p>
          <w:p w14:paraId="158F80E3" w14:textId="77777777" w:rsidR="003811E4" w:rsidRPr="003811E4" w:rsidRDefault="003811E4" w:rsidP="001D6191">
            <w:pPr>
              <w:tabs>
                <w:tab w:val="left" w:pos="0"/>
              </w:tabs>
              <w:ind w:left="-51"/>
              <w:jc w:val="both"/>
              <w:rPr>
                <w:color w:val="000000" w:themeColor="text1"/>
              </w:rPr>
            </w:pPr>
          </w:p>
          <w:p w14:paraId="6395C4B6" w14:textId="77777777" w:rsidR="00817A05" w:rsidRPr="00817A05" w:rsidRDefault="00817A05" w:rsidP="00817A05">
            <w:pPr>
              <w:tabs>
                <w:tab w:val="left" w:pos="0"/>
              </w:tabs>
              <w:ind w:left="-51"/>
              <w:jc w:val="both"/>
              <w:rPr>
                <w:color w:val="000000" w:themeColor="text1"/>
              </w:rPr>
            </w:pPr>
            <w:r w:rsidRPr="00817A05">
              <w:rPr>
                <w:color w:val="000000" w:themeColor="text1"/>
              </w:rPr>
              <w:t>(2) Lhůty podle odstavce 1 může stavební úřad před jejich uplynutím usnesením prodloužit</w:t>
            </w:r>
          </w:p>
          <w:p w14:paraId="03A870CF" w14:textId="77777777" w:rsidR="00817A05" w:rsidRPr="00817A05" w:rsidRDefault="00817A05" w:rsidP="00817A05">
            <w:pPr>
              <w:tabs>
                <w:tab w:val="left" w:pos="0"/>
              </w:tabs>
              <w:ind w:left="-51"/>
              <w:jc w:val="both"/>
              <w:rPr>
                <w:color w:val="000000" w:themeColor="text1"/>
              </w:rPr>
            </w:pPr>
            <w:r w:rsidRPr="00817A05">
              <w:rPr>
                <w:color w:val="000000" w:themeColor="text1"/>
              </w:rPr>
              <w:t xml:space="preserve"> </w:t>
            </w:r>
          </w:p>
          <w:p w14:paraId="6FFC5DE2" w14:textId="77777777" w:rsidR="00817A05" w:rsidRPr="00817A05" w:rsidRDefault="00817A05" w:rsidP="00817A05">
            <w:pPr>
              <w:tabs>
                <w:tab w:val="left" w:pos="0"/>
              </w:tabs>
              <w:ind w:left="-51"/>
              <w:jc w:val="both"/>
              <w:rPr>
                <w:color w:val="000000" w:themeColor="text1"/>
              </w:rPr>
            </w:pPr>
            <w:r w:rsidRPr="00817A05">
              <w:rPr>
                <w:color w:val="000000" w:themeColor="text1"/>
              </w:rPr>
              <w:t>a) až o 30 dnů ve zvlášť složitých případech nebo je-li nařízeno ústní jednání, nebo</w:t>
            </w:r>
          </w:p>
          <w:p w14:paraId="3FAA9925" w14:textId="77777777" w:rsidR="00817A05" w:rsidRPr="00817A05" w:rsidRDefault="00817A05" w:rsidP="00817A05">
            <w:pPr>
              <w:tabs>
                <w:tab w:val="left" w:pos="0"/>
              </w:tabs>
              <w:ind w:left="-51"/>
              <w:jc w:val="both"/>
              <w:rPr>
                <w:color w:val="000000" w:themeColor="text1"/>
              </w:rPr>
            </w:pPr>
            <w:r w:rsidRPr="00817A05">
              <w:rPr>
                <w:color w:val="000000" w:themeColor="text1"/>
              </w:rPr>
              <w:t xml:space="preserve"> </w:t>
            </w:r>
          </w:p>
          <w:p w14:paraId="53DF9278" w14:textId="0EC1E59B" w:rsidR="001D6191" w:rsidRPr="00B577BC" w:rsidRDefault="00817A05" w:rsidP="00817A05">
            <w:pPr>
              <w:tabs>
                <w:tab w:val="left" w:pos="0"/>
              </w:tabs>
              <w:ind w:left="-51"/>
              <w:jc w:val="both"/>
              <w:rPr>
                <w:color w:val="FF0000"/>
              </w:rPr>
            </w:pPr>
            <w:r w:rsidRPr="00817A05">
              <w:rPr>
                <w:color w:val="000000" w:themeColor="text1"/>
              </w:rPr>
              <w:t>b) až o 60 dnů v řízení s velkým počtem účastníků, nebo je-li třeba doručovat veřejnou vyhláškou osobám, jimž se prokazatelně nedaří doručovat, nebo je-li třeba doručovat do ciziny.</w:t>
            </w:r>
          </w:p>
        </w:tc>
        <w:tc>
          <w:tcPr>
            <w:tcW w:w="542" w:type="pct"/>
            <w:shd w:val="clear" w:color="auto" w:fill="auto"/>
            <w:tcMar>
              <w:top w:w="57" w:type="dxa"/>
              <w:bottom w:w="57" w:type="dxa"/>
            </w:tcMar>
          </w:tcPr>
          <w:p w14:paraId="4302DE89" w14:textId="4268ADEE" w:rsidR="001D6191" w:rsidRPr="00163132" w:rsidRDefault="001D6191" w:rsidP="001D6191">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601FF88C" w14:textId="347F8239" w:rsidR="001D6191" w:rsidRDefault="001D6191" w:rsidP="001D6191">
            <w:pPr>
              <w:pStyle w:val="Default"/>
              <w:tabs>
                <w:tab w:val="left" w:pos="107"/>
              </w:tabs>
              <w:jc w:val="both"/>
            </w:pPr>
            <w:r>
              <w:t>Čl. 9 odst. 6</w:t>
            </w:r>
          </w:p>
        </w:tc>
        <w:tc>
          <w:tcPr>
            <w:tcW w:w="1753" w:type="pct"/>
            <w:shd w:val="clear" w:color="auto" w:fill="auto"/>
            <w:tcMar>
              <w:top w:w="57" w:type="dxa"/>
              <w:bottom w:w="57" w:type="dxa"/>
            </w:tcMar>
          </w:tcPr>
          <w:p w14:paraId="458EF757" w14:textId="658115A0" w:rsidR="001D6191" w:rsidRPr="00B577BC" w:rsidRDefault="001D6191" w:rsidP="001D6191">
            <w:pPr>
              <w:pStyle w:val="Default"/>
              <w:tabs>
                <w:tab w:val="left" w:pos="107"/>
              </w:tabs>
              <w:jc w:val="both"/>
              <w:rPr>
                <w:rFonts w:ascii="Times New Roman" w:hAnsi="Times New Roman" w:cs="Times New Roman"/>
              </w:rPr>
            </w:pPr>
            <w:r w:rsidRPr="00C73A1B">
              <w:rPr>
                <w:rFonts w:ascii="Times New Roman" w:hAnsi="Times New Roman" w:cs="Times New Roman"/>
              </w:rPr>
              <w:t xml:space="preserve">6. Ve výjimečných případech, kdy to vyžaduje povaha, složitost, umístění nebo velikost </w:t>
            </w:r>
            <w:r w:rsidRPr="00C73A1B">
              <w:rPr>
                <w:rFonts w:ascii="Times New Roman" w:hAnsi="Times New Roman" w:cs="Times New Roman"/>
              </w:rPr>
              <w:lastRenderedPageBreak/>
              <w:t>navrhovaného projektu výroby technologií pro nulové čisté emise nebo strategického projektu pro nulové čisté emise, může členský stát lhůty uvedené v odstavcích 1, 2 a 7 tohoto článku a v čl. 16 odst. 1 a 2 v jednotlivých případech před jejich uplynutím jednou prodloužit, a to nejvýše o tři měsíce.</w:t>
            </w:r>
          </w:p>
        </w:tc>
      </w:tr>
      <w:tr w:rsidR="001D6191" w:rsidRPr="005D452F" w14:paraId="11C5C0E1" w14:textId="77777777" w:rsidTr="00A267C2">
        <w:tc>
          <w:tcPr>
            <w:tcW w:w="525" w:type="pct"/>
            <w:shd w:val="clear" w:color="auto" w:fill="auto"/>
            <w:tcMar>
              <w:top w:w="57" w:type="dxa"/>
              <w:bottom w:w="57" w:type="dxa"/>
            </w:tcMar>
          </w:tcPr>
          <w:p w14:paraId="1E1F95D9" w14:textId="21DB1270" w:rsidR="001D6191" w:rsidRPr="00FB58A3" w:rsidRDefault="00F522AF" w:rsidP="001D6191">
            <w:r w:rsidRPr="00F522AF">
              <w:lastRenderedPageBreak/>
              <w:t xml:space="preserve">§ 196 odst. 2 zákona č. 283/2021 Sb., stavební zákon  </w:t>
            </w:r>
          </w:p>
        </w:tc>
        <w:tc>
          <w:tcPr>
            <w:tcW w:w="1693" w:type="pct"/>
            <w:shd w:val="clear" w:color="auto" w:fill="auto"/>
            <w:tcMar>
              <w:top w:w="57" w:type="dxa"/>
              <w:bottom w:w="57" w:type="dxa"/>
            </w:tcMar>
          </w:tcPr>
          <w:p w14:paraId="6501DD08" w14:textId="77777777" w:rsidR="00F522AF" w:rsidRPr="00F522AF" w:rsidRDefault="00F522AF" w:rsidP="00F522AF">
            <w:pPr>
              <w:tabs>
                <w:tab w:val="left" w:pos="0"/>
              </w:tabs>
              <w:ind w:left="-51"/>
              <w:jc w:val="both"/>
              <w:rPr>
                <w:color w:val="000000" w:themeColor="text1"/>
              </w:rPr>
            </w:pPr>
            <w:r w:rsidRPr="00F522AF">
              <w:rPr>
                <w:color w:val="000000" w:themeColor="text1"/>
              </w:rPr>
              <w:t>(2) Lhůty podle odstavce 1 může stavební úřad před jejich uplynutím usnesením prodloužit</w:t>
            </w:r>
          </w:p>
          <w:p w14:paraId="13897225" w14:textId="77777777" w:rsidR="00F522AF" w:rsidRPr="00F522AF" w:rsidRDefault="00F522AF" w:rsidP="00F522AF">
            <w:pPr>
              <w:tabs>
                <w:tab w:val="left" w:pos="0"/>
              </w:tabs>
              <w:ind w:left="-51"/>
              <w:jc w:val="both"/>
              <w:rPr>
                <w:color w:val="000000" w:themeColor="text1"/>
              </w:rPr>
            </w:pPr>
            <w:r w:rsidRPr="00F522AF">
              <w:rPr>
                <w:color w:val="000000" w:themeColor="text1"/>
              </w:rPr>
              <w:t xml:space="preserve"> </w:t>
            </w:r>
          </w:p>
          <w:p w14:paraId="1AECC10C" w14:textId="77777777" w:rsidR="00F522AF" w:rsidRPr="00F522AF" w:rsidRDefault="00F522AF" w:rsidP="00F522AF">
            <w:pPr>
              <w:tabs>
                <w:tab w:val="left" w:pos="0"/>
              </w:tabs>
              <w:ind w:left="-51"/>
              <w:jc w:val="both"/>
              <w:rPr>
                <w:color w:val="000000" w:themeColor="text1"/>
              </w:rPr>
            </w:pPr>
            <w:r w:rsidRPr="00F522AF">
              <w:rPr>
                <w:color w:val="000000" w:themeColor="text1"/>
              </w:rPr>
              <w:t>a) až o 30 dnů ve zvlášť složitých případech nebo je-li nařízeno ústní jednání, nebo</w:t>
            </w:r>
          </w:p>
          <w:p w14:paraId="07B6A767" w14:textId="77777777" w:rsidR="00F522AF" w:rsidRPr="00F522AF" w:rsidRDefault="00F522AF" w:rsidP="00F522AF">
            <w:pPr>
              <w:tabs>
                <w:tab w:val="left" w:pos="0"/>
              </w:tabs>
              <w:ind w:left="-51"/>
              <w:jc w:val="both"/>
              <w:rPr>
                <w:color w:val="000000" w:themeColor="text1"/>
              </w:rPr>
            </w:pPr>
            <w:r w:rsidRPr="00F522AF">
              <w:rPr>
                <w:color w:val="000000" w:themeColor="text1"/>
              </w:rPr>
              <w:t xml:space="preserve"> </w:t>
            </w:r>
          </w:p>
          <w:p w14:paraId="3CC466A5" w14:textId="0540DD2F" w:rsidR="001D6191" w:rsidRPr="00F522AF" w:rsidRDefault="00F522AF" w:rsidP="00F522AF">
            <w:pPr>
              <w:tabs>
                <w:tab w:val="left" w:pos="0"/>
              </w:tabs>
              <w:ind w:left="-51"/>
              <w:jc w:val="both"/>
              <w:rPr>
                <w:color w:val="000000" w:themeColor="text1"/>
              </w:rPr>
            </w:pPr>
            <w:r w:rsidRPr="00F522AF">
              <w:rPr>
                <w:color w:val="000000" w:themeColor="text1"/>
              </w:rPr>
              <w:t>b) až o 60 dnů v řízení s velkým počtem účastníků, nebo je-li třeba doručovat veřejnou vyhláškou osobám, jimž se prokazatelně nedaří doručovat, nebo je-li třeba doručovat do ciziny.</w:t>
            </w:r>
          </w:p>
        </w:tc>
        <w:tc>
          <w:tcPr>
            <w:tcW w:w="542" w:type="pct"/>
            <w:shd w:val="clear" w:color="auto" w:fill="auto"/>
            <w:tcMar>
              <w:top w:w="57" w:type="dxa"/>
              <w:bottom w:w="57" w:type="dxa"/>
            </w:tcMar>
          </w:tcPr>
          <w:p w14:paraId="55A2A65A" w14:textId="4F5D1E85" w:rsidR="001D6191" w:rsidRPr="00163132" w:rsidRDefault="001D6191" w:rsidP="001D6191">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5BD49F70" w14:textId="3D92590A" w:rsidR="001D6191" w:rsidRDefault="001D6191" w:rsidP="001D6191">
            <w:pPr>
              <w:pStyle w:val="Default"/>
              <w:tabs>
                <w:tab w:val="left" w:pos="107"/>
              </w:tabs>
              <w:jc w:val="both"/>
            </w:pPr>
            <w:r>
              <w:t>Čl. 9 odst. 7</w:t>
            </w:r>
          </w:p>
        </w:tc>
        <w:tc>
          <w:tcPr>
            <w:tcW w:w="1753" w:type="pct"/>
            <w:shd w:val="clear" w:color="auto" w:fill="auto"/>
            <w:tcMar>
              <w:top w:w="57" w:type="dxa"/>
              <w:bottom w:w="57" w:type="dxa"/>
            </w:tcMar>
          </w:tcPr>
          <w:p w14:paraId="06F5763D" w14:textId="07B932DC" w:rsidR="001D6191" w:rsidRPr="00C73A1B" w:rsidRDefault="001D6191" w:rsidP="001D6191">
            <w:pPr>
              <w:pStyle w:val="Default"/>
              <w:tabs>
                <w:tab w:val="left" w:pos="107"/>
              </w:tabs>
              <w:jc w:val="both"/>
              <w:rPr>
                <w:rFonts w:ascii="Times New Roman" w:hAnsi="Times New Roman" w:cs="Times New Roman"/>
              </w:rPr>
            </w:pPr>
            <w:r w:rsidRPr="00C73A1B">
              <w:rPr>
                <w:rFonts w:ascii="Times New Roman" w:hAnsi="Times New Roman" w:cs="Times New Roman"/>
              </w:rPr>
              <w:t>7. Pokud se některý členský stát domnívá, že navrhovaný projekt výroby technologií pro nulové čisté emise nebo strategický projekt pro nulové čisté emise představuje výjimečná rizika pro zdraví a bezpečnost pracovníků nebo obyvatelstva obecně a je-li nezbytná dodatečná doba pro určení, zda jsou zavedena opatření k řešení identifikovatelných rizik, může lhůty uvedené v odstavcích 1 a 2 tohoto článku a v čl. 16 odst. 1 a 2 do šesti měsíců od zahájení povolovacího postupu o šest měsíců prodloužit.</w:t>
            </w:r>
          </w:p>
        </w:tc>
      </w:tr>
      <w:tr w:rsidR="00926609" w:rsidRPr="005D452F" w14:paraId="557C8787" w14:textId="77777777" w:rsidTr="00A267C2">
        <w:tc>
          <w:tcPr>
            <w:tcW w:w="525" w:type="pct"/>
            <w:shd w:val="clear" w:color="auto" w:fill="auto"/>
            <w:tcMar>
              <w:top w:w="57" w:type="dxa"/>
              <w:bottom w:w="57" w:type="dxa"/>
            </w:tcMar>
          </w:tcPr>
          <w:p w14:paraId="4B0DDABA" w14:textId="45D634AB" w:rsidR="00F522AF" w:rsidRDefault="00F522AF" w:rsidP="00F522AF">
            <w:r>
              <w:t xml:space="preserve">§ 3 odst. </w:t>
            </w:r>
            <w:r w:rsidR="0063242D">
              <w:t xml:space="preserve">4 </w:t>
            </w:r>
            <w:r>
              <w:t xml:space="preserve">písm. </w:t>
            </w:r>
            <w:r w:rsidR="0063242D">
              <w:t>c</w:t>
            </w:r>
            <w:r>
              <w:t>)</w:t>
            </w:r>
          </w:p>
          <w:p w14:paraId="0766830D" w14:textId="77777777" w:rsidR="00F522AF" w:rsidRDefault="00F522AF" w:rsidP="00926609"/>
          <w:p w14:paraId="58865074" w14:textId="77777777" w:rsidR="00F522AF" w:rsidRDefault="00F522AF" w:rsidP="00926609"/>
          <w:p w14:paraId="5BAEE829" w14:textId="77777777" w:rsidR="00F522AF" w:rsidRDefault="00F522AF" w:rsidP="00926609"/>
          <w:p w14:paraId="7B1FAC48" w14:textId="77777777" w:rsidR="00F522AF" w:rsidRDefault="00F522AF" w:rsidP="00926609"/>
          <w:p w14:paraId="5806C261" w14:textId="77777777" w:rsidR="0063242D" w:rsidRDefault="0063242D" w:rsidP="00926609"/>
          <w:p w14:paraId="5D11FBE0" w14:textId="77777777" w:rsidR="0063242D" w:rsidRDefault="0063242D" w:rsidP="00926609"/>
          <w:p w14:paraId="00B379F4" w14:textId="77777777" w:rsidR="0063242D" w:rsidRDefault="0063242D" w:rsidP="00926609"/>
          <w:p w14:paraId="205C64ED" w14:textId="77777777" w:rsidR="0063242D" w:rsidRDefault="0063242D" w:rsidP="00926609"/>
          <w:p w14:paraId="6280823A" w14:textId="77777777" w:rsidR="0063242D" w:rsidRDefault="0063242D" w:rsidP="00926609"/>
          <w:p w14:paraId="0C864243" w14:textId="1398A862" w:rsidR="00926609" w:rsidRPr="00FB58A3" w:rsidRDefault="00F522AF" w:rsidP="00926609">
            <w:r w:rsidRPr="00F522AF">
              <w:t xml:space="preserve">§ 196 odst. </w:t>
            </w:r>
            <w:r>
              <w:t>3</w:t>
            </w:r>
            <w:r w:rsidRPr="00F522AF">
              <w:t xml:space="preserve"> zákona č. 283/2021 Sb., stavební zákon</w:t>
            </w:r>
          </w:p>
        </w:tc>
        <w:tc>
          <w:tcPr>
            <w:tcW w:w="1693" w:type="pct"/>
            <w:shd w:val="clear" w:color="auto" w:fill="auto"/>
            <w:tcMar>
              <w:top w:w="57" w:type="dxa"/>
              <w:bottom w:w="57" w:type="dxa"/>
            </w:tcMar>
          </w:tcPr>
          <w:p w14:paraId="55FA948B" w14:textId="7671D87B" w:rsidR="00F522AF" w:rsidRPr="00F522AF" w:rsidRDefault="00F522AF" w:rsidP="00F522AF">
            <w:pPr>
              <w:tabs>
                <w:tab w:val="left" w:pos="0"/>
              </w:tabs>
              <w:ind w:left="-51"/>
              <w:jc w:val="both"/>
              <w:rPr>
                <w:color w:val="000000" w:themeColor="text1"/>
                <w:u w:val="single"/>
              </w:rPr>
            </w:pPr>
            <w:r w:rsidRPr="0063242D">
              <w:rPr>
                <w:color w:val="000000" w:themeColor="text1"/>
              </w:rPr>
              <w:lastRenderedPageBreak/>
              <w:t>(</w:t>
            </w:r>
            <w:r w:rsidR="0063242D">
              <w:rPr>
                <w:color w:val="000000" w:themeColor="text1"/>
              </w:rPr>
              <w:t>4</w:t>
            </w:r>
            <w:r w:rsidRPr="0063242D">
              <w:rPr>
                <w:color w:val="000000" w:themeColor="text1"/>
              </w:rPr>
              <w:t>)</w:t>
            </w:r>
            <w:r w:rsidRPr="0063242D">
              <w:rPr>
                <w:color w:val="000000" w:themeColor="text1"/>
              </w:rPr>
              <w:tab/>
            </w:r>
            <w:r w:rsidRPr="00F522AF">
              <w:rPr>
                <w:color w:val="000000" w:themeColor="text1"/>
                <w:u w:val="single"/>
              </w:rPr>
              <w:t>Jednotné kontaktní místo</w:t>
            </w:r>
          </w:p>
          <w:p w14:paraId="50B913B7" w14:textId="2B3C844C" w:rsidR="00F522AF" w:rsidRPr="008009E5" w:rsidRDefault="00F522AF" w:rsidP="00F522AF">
            <w:pPr>
              <w:tabs>
                <w:tab w:val="left" w:pos="0"/>
              </w:tabs>
              <w:ind w:left="-51"/>
              <w:jc w:val="both"/>
              <w:rPr>
                <w:color w:val="000000" w:themeColor="text1"/>
              </w:rPr>
            </w:pPr>
            <w:r w:rsidRPr="00F522AF">
              <w:rPr>
                <w:color w:val="000000" w:themeColor="text1"/>
                <w:u w:val="single"/>
              </w:rPr>
              <w:lastRenderedPageBreak/>
              <w:t xml:space="preserve">c) s výjimkou odstavce </w:t>
            </w:r>
            <w:r w:rsidR="0063242D">
              <w:rPr>
                <w:color w:val="000000" w:themeColor="text1"/>
                <w:u w:val="single"/>
              </w:rPr>
              <w:t>3</w:t>
            </w:r>
            <w:r w:rsidRPr="00F522AF">
              <w:rPr>
                <w:color w:val="000000" w:themeColor="text1"/>
                <w:u w:val="single"/>
              </w:rPr>
              <w:t xml:space="preserve"> je jednotné kontaktní místo stavebním úřadem podle jiného právního předpisu</w:t>
            </w:r>
            <w:r w:rsidRPr="00F522AF">
              <w:rPr>
                <w:color w:val="000000" w:themeColor="text1"/>
                <w:u w:val="single"/>
                <w:vertAlign w:val="superscript"/>
              </w:rPr>
              <w:t>2)</w:t>
            </w:r>
            <w:r w:rsidR="008009E5">
              <w:rPr>
                <w:color w:val="000000" w:themeColor="text1"/>
                <w:u w:val="single"/>
              </w:rPr>
              <w:t>.</w:t>
            </w:r>
          </w:p>
          <w:p w14:paraId="2410D8FD" w14:textId="6D8CFC31" w:rsidR="00F522AF" w:rsidRDefault="00F522AF" w:rsidP="00926609">
            <w:pPr>
              <w:tabs>
                <w:tab w:val="left" w:pos="0"/>
              </w:tabs>
              <w:ind w:left="-51"/>
              <w:jc w:val="both"/>
              <w:rPr>
                <w:color w:val="000000" w:themeColor="text1"/>
              </w:rPr>
            </w:pPr>
          </w:p>
          <w:p w14:paraId="7EC43412" w14:textId="77777777" w:rsidR="0063242D" w:rsidRPr="00817A05" w:rsidRDefault="0063242D" w:rsidP="0063242D">
            <w:pPr>
              <w:tabs>
                <w:tab w:val="left" w:pos="0"/>
              </w:tabs>
              <w:ind w:left="-51"/>
              <w:jc w:val="both"/>
              <w:rPr>
                <w:color w:val="000000" w:themeColor="text1"/>
              </w:rPr>
            </w:pPr>
            <w:r w:rsidRPr="00817A05">
              <w:rPr>
                <w:color w:val="000000" w:themeColor="text1"/>
                <w:vertAlign w:val="superscript"/>
              </w:rPr>
              <w:t xml:space="preserve">2) </w:t>
            </w:r>
            <w:r w:rsidRPr="00817A05">
              <w:rPr>
                <w:color w:val="000000" w:themeColor="text1"/>
              </w:rPr>
              <w:t>zákon č. 283/2021 Sb., stavební zákon, ve znění pozdějších předpisů.</w:t>
            </w:r>
          </w:p>
          <w:p w14:paraId="54B3CFD9" w14:textId="11398EFA" w:rsidR="00F522AF" w:rsidRDefault="00F522AF" w:rsidP="00926609">
            <w:pPr>
              <w:tabs>
                <w:tab w:val="left" w:pos="0"/>
              </w:tabs>
              <w:ind w:left="-51"/>
              <w:jc w:val="both"/>
              <w:rPr>
                <w:color w:val="000000" w:themeColor="text1"/>
              </w:rPr>
            </w:pPr>
          </w:p>
          <w:p w14:paraId="682EC9CF" w14:textId="77777777" w:rsidR="00F522AF" w:rsidRDefault="00F522AF" w:rsidP="00926609">
            <w:pPr>
              <w:tabs>
                <w:tab w:val="left" w:pos="0"/>
              </w:tabs>
              <w:ind w:left="-51"/>
              <w:jc w:val="both"/>
              <w:rPr>
                <w:color w:val="000000" w:themeColor="text1"/>
              </w:rPr>
            </w:pPr>
          </w:p>
          <w:p w14:paraId="15A8B6D8" w14:textId="67362AB2" w:rsidR="00926609" w:rsidRPr="00B577BC" w:rsidRDefault="00F522AF" w:rsidP="00926609">
            <w:pPr>
              <w:tabs>
                <w:tab w:val="left" w:pos="0"/>
              </w:tabs>
              <w:ind w:left="-51"/>
              <w:jc w:val="both"/>
              <w:rPr>
                <w:color w:val="FF0000"/>
              </w:rPr>
            </w:pPr>
            <w:r w:rsidRPr="00F522AF">
              <w:rPr>
                <w:color w:val="000000" w:themeColor="text1"/>
              </w:rPr>
              <w:t>(3) V usnesení o prodloužení lhůty stavební úřad uvede, z jakých důvodů nelze rozhodnout ve lhůtách podle odstavce 1 nebo 2; toto usnesení stavební úřad pouze poznamená do spisu a vyrozumí o prodloužení lhůty pouze stavebníka.</w:t>
            </w:r>
          </w:p>
        </w:tc>
        <w:tc>
          <w:tcPr>
            <w:tcW w:w="542" w:type="pct"/>
            <w:shd w:val="clear" w:color="auto" w:fill="auto"/>
            <w:tcMar>
              <w:top w:w="57" w:type="dxa"/>
              <w:bottom w:w="57" w:type="dxa"/>
            </w:tcMar>
          </w:tcPr>
          <w:p w14:paraId="047B4048" w14:textId="3267B37A" w:rsidR="00926609" w:rsidRPr="00163132" w:rsidRDefault="00926609" w:rsidP="00926609">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75DCC66" w14:textId="0534E1F4" w:rsidR="00926609" w:rsidRDefault="00926609" w:rsidP="00926609">
            <w:pPr>
              <w:pStyle w:val="Default"/>
              <w:tabs>
                <w:tab w:val="left" w:pos="107"/>
              </w:tabs>
              <w:jc w:val="both"/>
            </w:pPr>
            <w:r>
              <w:t>Čl. 9 odst. 8</w:t>
            </w:r>
          </w:p>
        </w:tc>
        <w:tc>
          <w:tcPr>
            <w:tcW w:w="1753" w:type="pct"/>
            <w:shd w:val="clear" w:color="auto" w:fill="auto"/>
            <w:tcMar>
              <w:top w:w="57" w:type="dxa"/>
              <w:bottom w:w="57" w:type="dxa"/>
            </w:tcMar>
          </w:tcPr>
          <w:p w14:paraId="3477080C" w14:textId="7B06CB09" w:rsidR="00926609" w:rsidRPr="00C73A1B" w:rsidRDefault="00926609" w:rsidP="00926609">
            <w:pPr>
              <w:pStyle w:val="Default"/>
              <w:tabs>
                <w:tab w:val="left" w:pos="107"/>
              </w:tabs>
              <w:jc w:val="both"/>
              <w:rPr>
                <w:rFonts w:ascii="Times New Roman" w:hAnsi="Times New Roman" w:cs="Times New Roman"/>
              </w:rPr>
            </w:pPr>
            <w:r w:rsidRPr="00C73A1B">
              <w:rPr>
                <w:rFonts w:ascii="Times New Roman" w:hAnsi="Times New Roman" w:cs="Times New Roman"/>
              </w:rPr>
              <w:t xml:space="preserve">8. Při uplatňování odstavců 6 nebo 7 jednotné kontaktní místo písemně informuje předkladatele projektu o důvodech prodloužení a </w:t>
            </w:r>
            <w:r w:rsidRPr="00C73A1B">
              <w:rPr>
                <w:rFonts w:ascii="Times New Roman" w:hAnsi="Times New Roman" w:cs="Times New Roman"/>
              </w:rPr>
              <w:lastRenderedPageBreak/>
              <w:t>o datu, ke kterému se očekává komplexní rozhodnutí.</w:t>
            </w:r>
          </w:p>
        </w:tc>
      </w:tr>
      <w:tr w:rsidR="001D6191" w:rsidRPr="005D452F" w14:paraId="0CBE0826" w14:textId="77777777" w:rsidTr="00A267C2">
        <w:tc>
          <w:tcPr>
            <w:tcW w:w="525" w:type="pct"/>
            <w:shd w:val="clear" w:color="auto" w:fill="auto"/>
            <w:tcMar>
              <w:top w:w="57" w:type="dxa"/>
              <w:bottom w:w="57" w:type="dxa"/>
            </w:tcMar>
          </w:tcPr>
          <w:p w14:paraId="5CC4D509" w14:textId="496E805F" w:rsidR="001D6191" w:rsidRPr="00FB58A3" w:rsidRDefault="00926609" w:rsidP="001D6191">
            <w:r>
              <w:lastRenderedPageBreak/>
              <w:t xml:space="preserve">§ 3 odst. </w:t>
            </w:r>
            <w:r w:rsidR="0063242D">
              <w:t>4</w:t>
            </w:r>
            <w:r>
              <w:t xml:space="preserve"> písm. a)</w:t>
            </w:r>
          </w:p>
        </w:tc>
        <w:tc>
          <w:tcPr>
            <w:tcW w:w="1693" w:type="pct"/>
            <w:shd w:val="clear" w:color="auto" w:fill="auto"/>
            <w:tcMar>
              <w:top w:w="57" w:type="dxa"/>
              <w:bottom w:w="57" w:type="dxa"/>
            </w:tcMar>
          </w:tcPr>
          <w:p w14:paraId="757ABC21" w14:textId="551E68F1" w:rsidR="008009E5" w:rsidRPr="008009E5" w:rsidRDefault="008009E5" w:rsidP="008009E5">
            <w:pPr>
              <w:tabs>
                <w:tab w:val="left" w:pos="503"/>
              </w:tabs>
              <w:spacing w:before="120" w:after="120"/>
              <w:jc w:val="both"/>
              <w:rPr>
                <w:u w:val="single"/>
              </w:rPr>
            </w:pPr>
            <w:r w:rsidRPr="008009E5">
              <w:t xml:space="preserve">(4)  </w:t>
            </w:r>
            <w:r w:rsidR="00926609" w:rsidRPr="0063242D">
              <w:rPr>
                <w:u w:val="single"/>
              </w:rPr>
              <w:t xml:space="preserve">Jednotné kontaktní místo </w:t>
            </w:r>
          </w:p>
          <w:p w14:paraId="28E459A6" w14:textId="7498F6AF" w:rsidR="00926609" w:rsidRPr="00187874" w:rsidRDefault="008009E5" w:rsidP="008009E5">
            <w:pPr>
              <w:tabs>
                <w:tab w:val="left" w:pos="503"/>
              </w:tabs>
              <w:spacing w:before="120" w:after="120"/>
              <w:jc w:val="both"/>
              <w:rPr>
                <w:u w:val="single"/>
              </w:rPr>
            </w:pPr>
            <w:r>
              <w:rPr>
                <w:u w:val="single"/>
              </w:rPr>
              <w:t xml:space="preserve">a) </w:t>
            </w:r>
            <w:r w:rsidR="00926609" w:rsidRPr="00187874">
              <w:rPr>
                <w:u w:val="single"/>
              </w:rPr>
              <w:t>plní informační a koordinační úkoly podle čl. 6 odst. 3 a 5</w:t>
            </w:r>
            <w:r w:rsidR="0063242D">
              <w:rPr>
                <w:u w:val="single"/>
              </w:rPr>
              <w:t xml:space="preserve">, </w:t>
            </w:r>
            <w:r w:rsidR="00926609" w:rsidRPr="00187874">
              <w:rPr>
                <w:u w:val="single"/>
              </w:rPr>
              <w:t>čl. 9</w:t>
            </w:r>
            <w:r w:rsidR="0063242D">
              <w:rPr>
                <w:u w:val="single"/>
              </w:rPr>
              <w:t xml:space="preserve"> a čl. 15</w:t>
            </w:r>
            <w:r w:rsidR="00926609" w:rsidRPr="00187874">
              <w:rPr>
                <w:u w:val="single"/>
              </w:rPr>
              <w:t xml:space="preserve"> nařízení Evropského parlamentu a Rady (EU) 2024/1735</w:t>
            </w:r>
            <w:r>
              <w:rPr>
                <w:u w:val="single"/>
              </w:rPr>
              <w:t>,</w:t>
            </w:r>
          </w:p>
          <w:p w14:paraId="062D9C5B" w14:textId="4716EAB0" w:rsidR="001D6191" w:rsidRPr="00B577BC" w:rsidRDefault="001D6191" w:rsidP="001D6191">
            <w:pPr>
              <w:tabs>
                <w:tab w:val="left" w:pos="0"/>
              </w:tabs>
              <w:ind w:left="-51"/>
              <w:jc w:val="both"/>
              <w:rPr>
                <w:color w:val="FF0000"/>
              </w:rPr>
            </w:pPr>
          </w:p>
        </w:tc>
        <w:tc>
          <w:tcPr>
            <w:tcW w:w="542" w:type="pct"/>
            <w:shd w:val="clear" w:color="auto" w:fill="auto"/>
            <w:tcMar>
              <w:top w:w="57" w:type="dxa"/>
              <w:bottom w:w="57" w:type="dxa"/>
            </w:tcMar>
          </w:tcPr>
          <w:p w14:paraId="1ED3F99F" w14:textId="60AEF130" w:rsidR="001D6191" w:rsidRPr="00163132" w:rsidRDefault="001D6191" w:rsidP="001D6191">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451C02D5" w14:textId="5F19BCB3" w:rsidR="001D6191" w:rsidRDefault="001D6191" w:rsidP="001D6191">
            <w:pPr>
              <w:pStyle w:val="Default"/>
              <w:tabs>
                <w:tab w:val="left" w:pos="107"/>
              </w:tabs>
              <w:jc w:val="both"/>
            </w:pPr>
            <w:r>
              <w:t>Čl. 9 odst. 9</w:t>
            </w:r>
          </w:p>
        </w:tc>
        <w:tc>
          <w:tcPr>
            <w:tcW w:w="1753" w:type="pct"/>
            <w:shd w:val="clear" w:color="auto" w:fill="auto"/>
            <w:tcMar>
              <w:top w:w="57" w:type="dxa"/>
              <w:bottom w:w="57" w:type="dxa"/>
            </w:tcMar>
          </w:tcPr>
          <w:p w14:paraId="5EA57673" w14:textId="5424B889" w:rsidR="001D6191" w:rsidRPr="00C73A1B" w:rsidRDefault="001D6191" w:rsidP="001D6191">
            <w:pPr>
              <w:pStyle w:val="Default"/>
              <w:tabs>
                <w:tab w:val="left" w:pos="107"/>
              </w:tabs>
              <w:jc w:val="both"/>
              <w:rPr>
                <w:rFonts w:ascii="Times New Roman" w:hAnsi="Times New Roman" w:cs="Times New Roman"/>
              </w:rPr>
            </w:pPr>
            <w:r w:rsidRPr="00450C5A">
              <w:rPr>
                <w:rFonts w:ascii="Times New Roman" w:hAnsi="Times New Roman" w:cs="Times New Roman"/>
              </w:rPr>
              <w:t>9. Jednotné kontaktní místo uvedené v čl. 6 odst. 1 tohoto nařízení předkladateli projektu oznámí datum, dokdy je třeba vypracovat zprávu o posouzení vlivů na životní prostředí uvedenou v čl. 5 odst. 1 směrnice 2011/92/EU, přičemž zohlední organizaci povolovacího postupu v příslušném členském státě a potřebu poskytnout dostatek času na posouzení zprávy. Období mezi lhůtou pro předložení zprávy o posouzení vlivů na životní prostředí a jejím předložením se do doby trvání povolovacího postupu uvedeného v odstavcích 1 a 2 tohoto článku nezapočítává.</w:t>
            </w:r>
          </w:p>
        </w:tc>
      </w:tr>
      <w:tr w:rsidR="00187874" w:rsidRPr="005D452F" w14:paraId="68668314" w14:textId="77777777" w:rsidTr="00A267C2">
        <w:tc>
          <w:tcPr>
            <w:tcW w:w="525" w:type="pct"/>
            <w:shd w:val="clear" w:color="auto" w:fill="auto"/>
            <w:tcMar>
              <w:top w:w="57" w:type="dxa"/>
              <w:bottom w:w="57" w:type="dxa"/>
            </w:tcMar>
          </w:tcPr>
          <w:p w14:paraId="1BFD1602" w14:textId="21E37558" w:rsidR="00187874" w:rsidRPr="00FB58A3" w:rsidRDefault="00187874" w:rsidP="00187874">
            <w:r>
              <w:t xml:space="preserve">§ 3 odst. </w:t>
            </w:r>
            <w:r w:rsidR="0063242D">
              <w:t>4</w:t>
            </w:r>
            <w:r>
              <w:t xml:space="preserve"> písm. a)</w:t>
            </w:r>
          </w:p>
        </w:tc>
        <w:tc>
          <w:tcPr>
            <w:tcW w:w="1693" w:type="pct"/>
            <w:shd w:val="clear" w:color="auto" w:fill="auto"/>
            <w:tcMar>
              <w:top w:w="57" w:type="dxa"/>
              <w:bottom w:w="57" w:type="dxa"/>
            </w:tcMar>
          </w:tcPr>
          <w:p w14:paraId="3E4F1143" w14:textId="0041488D" w:rsidR="00187874" w:rsidRPr="0063242D" w:rsidRDefault="008009E5" w:rsidP="008009E5">
            <w:pPr>
              <w:tabs>
                <w:tab w:val="left" w:pos="503"/>
              </w:tabs>
              <w:spacing w:before="120" w:after="120"/>
              <w:jc w:val="both"/>
              <w:rPr>
                <w:u w:val="single"/>
              </w:rPr>
            </w:pPr>
            <w:r w:rsidRPr="008009E5">
              <w:t xml:space="preserve">(4) </w:t>
            </w:r>
            <w:r>
              <w:rPr>
                <w:u w:val="single"/>
              </w:rPr>
              <w:t xml:space="preserve"> </w:t>
            </w:r>
            <w:r w:rsidR="00187874" w:rsidRPr="0063242D">
              <w:rPr>
                <w:u w:val="single"/>
              </w:rPr>
              <w:t xml:space="preserve">Jednotné kontaktní místo </w:t>
            </w:r>
          </w:p>
          <w:p w14:paraId="7A5601E4" w14:textId="28529371" w:rsidR="00187874" w:rsidRPr="0063242D" w:rsidRDefault="008009E5" w:rsidP="008009E5">
            <w:pPr>
              <w:tabs>
                <w:tab w:val="left" w:pos="503"/>
              </w:tabs>
              <w:spacing w:before="120" w:after="120"/>
              <w:jc w:val="both"/>
              <w:rPr>
                <w:u w:val="single"/>
              </w:rPr>
            </w:pPr>
            <w:r>
              <w:rPr>
                <w:u w:val="single"/>
              </w:rPr>
              <w:t xml:space="preserve">a) </w:t>
            </w:r>
            <w:r w:rsidR="00187874" w:rsidRPr="0063242D">
              <w:rPr>
                <w:u w:val="single"/>
              </w:rPr>
              <w:t>plní informační a koordinační úkoly podle čl. 6 odst. 3 a 5</w:t>
            </w:r>
            <w:r w:rsidR="0063242D">
              <w:rPr>
                <w:u w:val="single"/>
              </w:rPr>
              <w:t xml:space="preserve">, </w:t>
            </w:r>
            <w:r w:rsidR="00187874" w:rsidRPr="0063242D">
              <w:rPr>
                <w:u w:val="single"/>
              </w:rPr>
              <w:t>čl. 9</w:t>
            </w:r>
            <w:r w:rsidR="0063242D">
              <w:rPr>
                <w:u w:val="single"/>
              </w:rPr>
              <w:t xml:space="preserve"> a čl. 15</w:t>
            </w:r>
            <w:r w:rsidR="00187874" w:rsidRPr="0063242D">
              <w:rPr>
                <w:u w:val="single"/>
              </w:rPr>
              <w:t xml:space="preserve"> nařízení </w:t>
            </w:r>
            <w:r w:rsidR="00187874" w:rsidRPr="0063242D">
              <w:rPr>
                <w:u w:val="single"/>
              </w:rPr>
              <w:lastRenderedPageBreak/>
              <w:t>Evropského parlamentu a Rady (EU) 2024/1735</w:t>
            </w:r>
            <w:r>
              <w:rPr>
                <w:u w:val="single"/>
              </w:rPr>
              <w:t>,</w:t>
            </w:r>
          </w:p>
          <w:p w14:paraId="57421042" w14:textId="504A586B" w:rsidR="00187874" w:rsidRDefault="00187874" w:rsidP="00187874">
            <w:pPr>
              <w:tabs>
                <w:tab w:val="left" w:pos="0"/>
              </w:tabs>
              <w:ind w:left="-51"/>
              <w:jc w:val="both"/>
              <w:rPr>
                <w:color w:val="FF0000"/>
              </w:rPr>
            </w:pPr>
          </w:p>
        </w:tc>
        <w:tc>
          <w:tcPr>
            <w:tcW w:w="542" w:type="pct"/>
            <w:shd w:val="clear" w:color="auto" w:fill="auto"/>
            <w:tcMar>
              <w:top w:w="57" w:type="dxa"/>
              <w:bottom w:w="57" w:type="dxa"/>
            </w:tcMar>
          </w:tcPr>
          <w:p w14:paraId="1C76A366" w14:textId="47D565CB"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E67375B" w14:textId="3C7A1239" w:rsidR="00187874" w:rsidRDefault="00187874" w:rsidP="00187874">
            <w:pPr>
              <w:pStyle w:val="Default"/>
              <w:tabs>
                <w:tab w:val="left" w:pos="107"/>
              </w:tabs>
              <w:jc w:val="both"/>
            </w:pPr>
            <w:r w:rsidRPr="00C2302B">
              <w:t xml:space="preserve">Čl. 9 odst. </w:t>
            </w:r>
            <w:r>
              <w:t>10</w:t>
            </w:r>
          </w:p>
        </w:tc>
        <w:tc>
          <w:tcPr>
            <w:tcW w:w="1753" w:type="pct"/>
            <w:shd w:val="clear" w:color="auto" w:fill="auto"/>
            <w:tcMar>
              <w:top w:w="57" w:type="dxa"/>
              <w:bottom w:w="57" w:type="dxa"/>
            </w:tcMar>
          </w:tcPr>
          <w:p w14:paraId="28C3537C" w14:textId="11434008" w:rsidR="00187874" w:rsidRPr="00450C5A" w:rsidRDefault="00187874" w:rsidP="00187874">
            <w:pPr>
              <w:pStyle w:val="Default"/>
              <w:tabs>
                <w:tab w:val="left" w:pos="107"/>
              </w:tabs>
              <w:jc w:val="both"/>
              <w:rPr>
                <w:rFonts w:ascii="Times New Roman" w:hAnsi="Times New Roman" w:cs="Times New Roman"/>
              </w:rPr>
            </w:pPr>
            <w:r w:rsidRPr="00C2302B">
              <w:rPr>
                <w:rFonts w:ascii="Times New Roman" w:hAnsi="Times New Roman" w:cs="Times New Roman"/>
              </w:rPr>
              <w:t xml:space="preserve">10. Nejpozději do 45 dnů od obdržení žádosti o udělení povolení dotčené jednotné kontaktní místo potvrdí, že žádost je úplná, nebo pokud předkladatel projektu nezaslal všechny informace potřebné pro zpracování žádosti, </w:t>
            </w:r>
            <w:r w:rsidRPr="00C2302B">
              <w:rPr>
                <w:rFonts w:ascii="Times New Roman" w:hAnsi="Times New Roman" w:cs="Times New Roman"/>
              </w:rPr>
              <w:lastRenderedPageBreak/>
              <w:t>požádá předkladatele projektu, aby bez zbytečného prodlení předložil úplnou žádost, přičemž upřesní, které informace chybějí. Je-li předložená žádost shledána neúplnou napodruhé, může jednotné kontaktní místo do 30 dnů od druhého podání znovu požádat o informace. Jednotné kontaktní místo nevyžaduje informace v oblastech, které nejsou zahrnuty v první žádosti o doplňující informace, a je oprávněno požadovat další důkazy pouze za účelem doplnění zjištěných chybějících informací. Datum potvrzení úplnosti žádosti jednotným kontaktním místem podle čl. 6 odst. 1 se považuje za začátek povolovacího postupu týkajícího se uvedené konkrétní žádosti.</w:t>
            </w:r>
          </w:p>
        </w:tc>
      </w:tr>
      <w:tr w:rsidR="00187874" w:rsidRPr="005D452F" w14:paraId="1E7F8C18" w14:textId="77777777" w:rsidTr="00A267C2">
        <w:tc>
          <w:tcPr>
            <w:tcW w:w="525" w:type="pct"/>
            <w:shd w:val="clear" w:color="auto" w:fill="auto"/>
            <w:tcMar>
              <w:top w:w="57" w:type="dxa"/>
              <w:bottom w:w="57" w:type="dxa"/>
            </w:tcMar>
          </w:tcPr>
          <w:p w14:paraId="3F3E7AA5" w14:textId="6F913F58" w:rsidR="00187874" w:rsidRPr="00FB58A3" w:rsidRDefault="00187874" w:rsidP="00187874">
            <w:r>
              <w:lastRenderedPageBreak/>
              <w:t xml:space="preserve">§ 3 odst. </w:t>
            </w:r>
            <w:r w:rsidR="008009E5">
              <w:t>4</w:t>
            </w:r>
            <w:r>
              <w:t xml:space="preserve"> písm. a)</w:t>
            </w:r>
          </w:p>
        </w:tc>
        <w:tc>
          <w:tcPr>
            <w:tcW w:w="1693" w:type="pct"/>
            <w:shd w:val="clear" w:color="auto" w:fill="auto"/>
            <w:tcMar>
              <w:top w:w="57" w:type="dxa"/>
              <w:bottom w:w="57" w:type="dxa"/>
            </w:tcMar>
          </w:tcPr>
          <w:p w14:paraId="417E5FB0" w14:textId="77777777" w:rsidR="008009E5" w:rsidRPr="008009E5" w:rsidRDefault="008009E5" w:rsidP="008009E5">
            <w:pPr>
              <w:tabs>
                <w:tab w:val="left" w:pos="503"/>
              </w:tabs>
              <w:spacing w:before="120" w:after="120"/>
              <w:jc w:val="both"/>
              <w:rPr>
                <w:u w:val="single"/>
              </w:rPr>
            </w:pPr>
            <w:r w:rsidRPr="008009E5">
              <w:t>(4)</w:t>
            </w:r>
            <w:r w:rsidRPr="008009E5">
              <w:tab/>
            </w:r>
            <w:r w:rsidRPr="008009E5">
              <w:rPr>
                <w:u w:val="single"/>
              </w:rPr>
              <w:t xml:space="preserve">Jednotné kontaktní místo </w:t>
            </w:r>
          </w:p>
          <w:p w14:paraId="17F9C3B5" w14:textId="12F17FEF" w:rsidR="008009E5" w:rsidRPr="008009E5" w:rsidRDefault="008009E5" w:rsidP="008009E5">
            <w:pPr>
              <w:pStyle w:val="Odstavecseseznamem"/>
              <w:tabs>
                <w:tab w:val="left" w:pos="503"/>
              </w:tabs>
              <w:spacing w:before="120" w:after="120"/>
              <w:ind w:left="0"/>
              <w:jc w:val="both"/>
              <w:rPr>
                <w:u w:val="single"/>
              </w:rPr>
            </w:pPr>
            <w:r w:rsidRPr="008009E5">
              <w:rPr>
                <w:u w:val="single"/>
              </w:rPr>
              <w:t>a)</w:t>
            </w:r>
            <w:r w:rsidRPr="008009E5">
              <w:rPr>
                <w:u w:val="single"/>
              </w:rPr>
              <w:tab/>
              <w:t>plní informační a koordinační úkoly podle čl. 6 odst. 3 a 5, čl. 9 a čl. 15 nařízení Evropského parlamentu a Rady (EU) 2024/1735</w:t>
            </w:r>
            <w:r w:rsidR="00B91A2E">
              <w:rPr>
                <w:u w:val="single"/>
              </w:rPr>
              <w:t>,</w:t>
            </w:r>
          </w:p>
          <w:p w14:paraId="5AF3EDB9" w14:textId="317778EE" w:rsidR="00187874" w:rsidRDefault="00187874" w:rsidP="008009E5">
            <w:pPr>
              <w:pStyle w:val="Odstavecseseznamem"/>
              <w:tabs>
                <w:tab w:val="left" w:pos="567"/>
              </w:tabs>
              <w:spacing w:before="120" w:after="120"/>
              <w:ind w:left="0"/>
              <w:jc w:val="both"/>
              <w:rPr>
                <w:color w:val="FF0000"/>
              </w:rPr>
            </w:pPr>
          </w:p>
        </w:tc>
        <w:tc>
          <w:tcPr>
            <w:tcW w:w="542" w:type="pct"/>
            <w:shd w:val="clear" w:color="auto" w:fill="auto"/>
            <w:tcMar>
              <w:top w:w="57" w:type="dxa"/>
              <w:bottom w:w="57" w:type="dxa"/>
            </w:tcMar>
          </w:tcPr>
          <w:p w14:paraId="5AF3AD9E" w14:textId="2F43670F"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51587751" w14:textId="091B705B" w:rsidR="00187874" w:rsidRPr="00C2302B" w:rsidRDefault="00187874" w:rsidP="00187874">
            <w:pPr>
              <w:pStyle w:val="Default"/>
              <w:tabs>
                <w:tab w:val="left" w:pos="107"/>
              </w:tabs>
              <w:jc w:val="both"/>
            </w:pPr>
            <w:r w:rsidRPr="00C2302B">
              <w:t xml:space="preserve">Čl. 9 odst. </w:t>
            </w:r>
            <w:r>
              <w:t>11</w:t>
            </w:r>
          </w:p>
        </w:tc>
        <w:tc>
          <w:tcPr>
            <w:tcW w:w="1753" w:type="pct"/>
            <w:shd w:val="clear" w:color="auto" w:fill="auto"/>
            <w:tcMar>
              <w:top w:w="57" w:type="dxa"/>
              <w:bottom w:w="57" w:type="dxa"/>
            </w:tcMar>
          </w:tcPr>
          <w:p w14:paraId="49E62E00" w14:textId="0D91F1C8" w:rsidR="00187874" w:rsidRPr="00C2302B" w:rsidRDefault="00187874" w:rsidP="00187874">
            <w:pPr>
              <w:pStyle w:val="Default"/>
              <w:tabs>
                <w:tab w:val="left" w:pos="107"/>
              </w:tabs>
              <w:jc w:val="both"/>
              <w:rPr>
                <w:rFonts w:ascii="Times New Roman" w:hAnsi="Times New Roman" w:cs="Times New Roman"/>
              </w:rPr>
            </w:pPr>
            <w:r w:rsidRPr="009A66C2">
              <w:rPr>
                <w:rFonts w:ascii="Times New Roman" w:hAnsi="Times New Roman" w:cs="Times New Roman"/>
              </w:rPr>
              <w:t>11. Nejpozději do dvou měsíců ode dne přijetí žádosti vypracuje jednotné kontaktní místo v úzké spolupráci s dalšími dotčenými orgány podrobný harmonogram povolovacího postupu. Tento harmonogram se odvíjí od okamžiku, kdy jednotné kontaktní místo potvrdí, že je žádost úplná. Harmonogram zveřejní jednotné kontaktní místo na volně přístupných internetových stránkách.</w:t>
            </w:r>
          </w:p>
        </w:tc>
      </w:tr>
      <w:tr w:rsidR="00187874" w:rsidRPr="005D452F" w14:paraId="1A2F8861" w14:textId="77777777" w:rsidTr="00A267C2">
        <w:tc>
          <w:tcPr>
            <w:tcW w:w="525" w:type="pct"/>
            <w:shd w:val="clear" w:color="auto" w:fill="auto"/>
            <w:tcMar>
              <w:top w:w="57" w:type="dxa"/>
              <w:bottom w:w="57" w:type="dxa"/>
            </w:tcMar>
          </w:tcPr>
          <w:p w14:paraId="6C762381" w14:textId="006A213C" w:rsidR="00187874" w:rsidRDefault="00187874" w:rsidP="00187874">
            <w:r>
              <w:t xml:space="preserve">§ 3 odst. </w:t>
            </w:r>
            <w:r w:rsidR="00B91A2E">
              <w:t>3</w:t>
            </w:r>
          </w:p>
          <w:p w14:paraId="3E8F0ABC" w14:textId="77777777" w:rsidR="00C94569" w:rsidRDefault="00C94569" w:rsidP="00187874"/>
          <w:p w14:paraId="3F546F77" w14:textId="77777777" w:rsidR="00C94569" w:rsidRDefault="00C94569" w:rsidP="00187874"/>
          <w:p w14:paraId="60FD7A46" w14:textId="77777777" w:rsidR="00C94569" w:rsidRDefault="00C94569" w:rsidP="00187874"/>
          <w:p w14:paraId="3B4A59F4" w14:textId="77777777" w:rsidR="00C94569" w:rsidRDefault="00C94569" w:rsidP="00187874"/>
          <w:p w14:paraId="275440D8" w14:textId="77777777" w:rsidR="00C94569" w:rsidRDefault="00C94569" w:rsidP="00187874"/>
          <w:p w14:paraId="023FA2C7" w14:textId="77777777" w:rsidR="00C94569" w:rsidRDefault="00C94569" w:rsidP="00187874"/>
          <w:p w14:paraId="6366F735" w14:textId="77777777" w:rsidR="00C94569" w:rsidRDefault="00C94569" w:rsidP="00187874"/>
          <w:p w14:paraId="64B04D53" w14:textId="77777777" w:rsidR="00C94569" w:rsidRDefault="00C94569" w:rsidP="00187874"/>
          <w:p w14:paraId="5FBCFBFA" w14:textId="77777777" w:rsidR="00C94569" w:rsidRDefault="00C94569" w:rsidP="00187874"/>
          <w:p w14:paraId="69A42C13" w14:textId="77777777" w:rsidR="00C94569" w:rsidRDefault="00C94569" w:rsidP="00187874"/>
          <w:p w14:paraId="4082EB7C" w14:textId="77777777" w:rsidR="00C94569" w:rsidRDefault="00C94569" w:rsidP="00187874"/>
          <w:p w14:paraId="45597691" w14:textId="77777777" w:rsidR="00C94569" w:rsidRDefault="00C94569" w:rsidP="00187874"/>
          <w:p w14:paraId="69CAACA4" w14:textId="77777777" w:rsidR="00C94569" w:rsidRDefault="00C94569" w:rsidP="00187874"/>
          <w:p w14:paraId="0E67785C" w14:textId="77777777" w:rsidR="00C94569" w:rsidRDefault="00C94569" w:rsidP="00187874">
            <w:r>
              <w:t xml:space="preserve">§ 6 odst. 1 zákona č. 100/2001 Sb., </w:t>
            </w:r>
            <w:r w:rsidRPr="00F00028">
              <w:t>o posuzování vlivů na životní prostředí a o změně některých souvisejících zákonů</w:t>
            </w:r>
          </w:p>
          <w:p w14:paraId="1F925021" w14:textId="77777777" w:rsidR="00C94569" w:rsidRDefault="00C94569" w:rsidP="00187874"/>
          <w:p w14:paraId="4C23D575" w14:textId="16B85B39" w:rsidR="00C94569" w:rsidRDefault="00C94569" w:rsidP="00C94569">
            <w:r>
              <w:t xml:space="preserve">§ 7 odst. 1 a 4 zákona č. 100/2001 Sb., </w:t>
            </w:r>
            <w:r w:rsidRPr="00F00028">
              <w:t>o posuzování vlivů na životní prostředí a o změně některých souvisejících zákonů</w:t>
            </w:r>
          </w:p>
          <w:p w14:paraId="12AAD1B8" w14:textId="77777777" w:rsidR="00C94569" w:rsidRDefault="00C94569" w:rsidP="00187874"/>
          <w:p w14:paraId="3E80A87D" w14:textId="4B18D4DC" w:rsidR="00C94569" w:rsidRPr="00FB58A3" w:rsidRDefault="00C94569" w:rsidP="00187874"/>
        </w:tc>
        <w:tc>
          <w:tcPr>
            <w:tcW w:w="1693" w:type="pct"/>
            <w:shd w:val="clear" w:color="auto" w:fill="auto"/>
            <w:tcMar>
              <w:top w:w="57" w:type="dxa"/>
              <w:bottom w:w="57" w:type="dxa"/>
            </w:tcMar>
          </w:tcPr>
          <w:p w14:paraId="2FC140AF" w14:textId="0289A031" w:rsidR="00C94569" w:rsidRDefault="00B91A2E" w:rsidP="00187874">
            <w:pPr>
              <w:tabs>
                <w:tab w:val="left" w:pos="0"/>
              </w:tabs>
              <w:ind w:left="-51"/>
              <w:jc w:val="both"/>
              <w:rPr>
                <w:color w:val="000000" w:themeColor="text1"/>
                <w:u w:val="single"/>
              </w:rPr>
            </w:pPr>
            <w:r w:rsidRPr="00B91A2E">
              <w:rPr>
                <w:color w:val="000000" w:themeColor="text1"/>
                <w:u w:val="single"/>
              </w:rPr>
              <w:lastRenderedPageBreak/>
              <w:t>(3)</w:t>
            </w:r>
            <w:r w:rsidRPr="00B91A2E">
              <w:rPr>
                <w:color w:val="000000" w:themeColor="text1"/>
                <w:u w:val="single"/>
              </w:rPr>
              <w:tab/>
              <w:t xml:space="preserve">Ministerstvo životního prostředí je jednotným kontaktním místem ve smyslu čl. 6 nařízení Evropského parlamentu a Rady (EU) 2024/1735 pro záměry podléhající posuzování vlivů na životní prostředí ve vztahu k povinnostem uvedeným v čl. 9 odst. 5 a 9 a čl. 10 odst. 1 nařízení Evropského parlamentu a </w:t>
            </w:r>
            <w:r w:rsidRPr="00B91A2E">
              <w:rPr>
                <w:color w:val="000000" w:themeColor="text1"/>
                <w:u w:val="single"/>
              </w:rPr>
              <w:lastRenderedPageBreak/>
              <w:t>Rady (EU) 2024/1735 a poskytuje Dopravnímu a energetickému úřadu součinnost ve věci posouzení vlivu na životní prostředí podle čl. čl. 9 odst. 5 a 9 a čl. 10 odst. 1 nařízení Evropského parlamentu a Rady (EU) 2024/1735.</w:t>
            </w:r>
          </w:p>
          <w:p w14:paraId="74D31D6A" w14:textId="0DE2E28A" w:rsidR="00B91A2E" w:rsidRDefault="00B91A2E" w:rsidP="00187874">
            <w:pPr>
              <w:tabs>
                <w:tab w:val="left" w:pos="0"/>
              </w:tabs>
              <w:ind w:left="-51"/>
              <w:jc w:val="both"/>
              <w:rPr>
                <w:color w:val="000000" w:themeColor="text1"/>
                <w:u w:val="single"/>
              </w:rPr>
            </w:pPr>
          </w:p>
          <w:p w14:paraId="54196ECC" w14:textId="77777777" w:rsidR="00B91A2E" w:rsidRPr="00C94569" w:rsidRDefault="00B91A2E" w:rsidP="00187874">
            <w:pPr>
              <w:tabs>
                <w:tab w:val="left" w:pos="0"/>
              </w:tabs>
              <w:ind w:left="-51"/>
              <w:jc w:val="both"/>
              <w:rPr>
                <w:color w:val="000000" w:themeColor="text1"/>
                <w:u w:val="single"/>
              </w:rPr>
            </w:pPr>
          </w:p>
          <w:p w14:paraId="6F865A66" w14:textId="1046F5B7" w:rsidR="00C94569" w:rsidRPr="00C94569" w:rsidRDefault="00C94569" w:rsidP="00C94569">
            <w:pPr>
              <w:pStyle w:val="Odstavecseseznamem"/>
              <w:numPr>
                <w:ilvl w:val="0"/>
                <w:numId w:val="22"/>
              </w:numPr>
              <w:tabs>
                <w:tab w:val="left" w:pos="0"/>
              </w:tabs>
              <w:jc w:val="both"/>
              <w:rPr>
                <w:color w:val="000000" w:themeColor="text1"/>
              </w:rPr>
            </w:pPr>
            <w:r w:rsidRPr="00C94569">
              <w:rPr>
                <w:color w:val="000000" w:themeColor="text1"/>
              </w:rPr>
              <w:t>Oznamovatel je povinen předložit oznámení záměru (dále jen "oznámení") příslušnému úřadu.</w:t>
            </w:r>
          </w:p>
          <w:p w14:paraId="17957C3A" w14:textId="77777777" w:rsidR="00C94569" w:rsidRPr="00C94569" w:rsidRDefault="00C94569" w:rsidP="00C94569">
            <w:pPr>
              <w:tabs>
                <w:tab w:val="left" w:pos="0"/>
              </w:tabs>
              <w:jc w:val="both"/>
              <w:rPr>
                <w:color w:val="000000" w:themeColor="text1"/>
              </w:rPr>
            </w:pPr>
          </w:p>
          <w:p w14:paraId="50EA3AFF" w14:textId="77777777" w:rsidR="00C94569" w:rsidRPr="00C94569" w:rsidRDefault="00C94569" w:rsidP="00C94569">
            <w:pPr>
              <w:tabs>
                <w:tab w:val="left" w:pos="0"/>
              </w:tabs>
              <w:jc w:val="both"/>
              <w:rPr>
                <w:color w:val="000000" w:themeColor="text1"/>
              </w:rPr>
            </w:pPr>
          </w:p>
          <w:p w14:paraId="4F54AAFF" w14:textId="77777777" w:rsidR="00C94569" w:rsidRPr="00C94569" w:rsidRDefault="00C94569" w:rsidP="00C94569">
            <w:pPr>
              <w:tabs>
                <w:tab w:val="left" w:pos="0"/>
              </w:tabs>
              <w:jc w:val="both"/>
              <w:rPr>
                <w:color w:val="000000" w:themeColor="text1"/>
              </w:rPr>
            </w:pPr>
          </w:p>
          <w:p w14:paraId="31A88843" w14:textId="77777777" w:rsidR="00C94569" w:rsidRPr="00C94569" w:rsidRDefault="00C94569" w:rsidP="00C94569">
            <w:pPr>
              <w:tabs>
                <w:tab w:val="left" w:pos="0"/>
              </w:tabs>
              <w:jc w:val="both"/>
              <w:rPr>
                <w:color w:val="000000" w:themeColor="text1"/>
              </w:rPr>
            </w:pPr>
          </w:p>
          <w:p w14:paraId="374B312A" w14:textId="77777777" w:rsidR="00C94569" w:rsidRPr="00C94569" w:rsidRDefault="00C94569" w:rsidP="00C94569">
            <w:pPr>
              <w:tabs>
                <w:tab w:val="left" w:pos="0"/>
              </w:tabs>
              <w:jc w:val="both"/>
              <w:rPr>
                <w:color w:val="000000" w:themeColor="text1"/>
              </w:rPr>
            </w:pPr>
          </w:p>
          <w:p w14:paraId="422A183E" w14:textId="77777777" w:rsidR="00C94569" w:rsidRPr="00C94569" w:rsidRDefault="00C94569" w:rsidP="00C94569">
            <w:pPr>
              <w:tabs>
                <w:tab w:val="left" w:pos="0"/>
              </w:tabs>
              <w:jc w:val="both"/>
              <w:rPr>
                <w:color w:val="000000" w:themeColor="text1"/>
              </w:rPr>
            </w:pPr>
          </w:p>
          <w:p w14:paraId="27460FDC" w14:textId="77777777" w:rsidR="00C94569" w:rsidRPr="00C94569" w:rsidRDefault="00C94569" w:rsidP="00C94569">
            <w:pPr>
              <w:tabs>
                <w:tab w:val="left" w:pos="0"/>
              </w:tabs>
              <w:jc w:val="both"/>
              <w:rPr>
                <w:color w:val="000000" w:themeColor="text1"/>
              </w:rPr>
            </w:pPr>
          </w:p>
          <w:p w14:paraId="0565DB7C" w14:textId="77777777" w:rsidR="00C94569" w:rsidRPr="00C94569" w:rsidRDefault="00C94569" w:rsidP="00C94569">
            <w:pPr>
              <w:tabs>
                <w:tab w:val="left" w:pos="0"/>
              </w:tabs>
              <w:jc w:val="both"/>
              <w:rPr>
                <w:color w:val="000000" w:themeColor="text1"/>
              </w:rPr>
            </w:pPr>
          </w:p>
          <w:p w14:paraId="6F20BDFD" w14:textId="77777777" w:rsidR="00C94569" w:rsidRPr="00C94569" w:rsidRDefault="00C94569" w:rsidP="00C94569">
            <w:pPr>
              <w:tabs>
                <w:tab w:val="left" w:pos="0"/>
              </w:tabs>
              <w:jc w:val="both"/>
              <w:rPr>
                <w:color w:val="000000" w:themeColor="text1"/>
              </w:rPr>
            </w:pPr>
          </w:p>
          <w:p w14:paraId="75E94690" w14:textId="77777777" w:rsidR="00C94569" w:rsidRPr="00C94569" w:rsidRDefault="00C94569" w:rsidP="00C94569">
            <w:pPr>
              <w:tabs>
                <w:tab w:val="left" w:pos="0"/>
              </w:tabs>
              <w:jc w:val="both"/>
              <w:rPr>
                <w:color w:val="000000" w:themeColor="text1"/>
              </w:rPr>
            </w:pPr>
          </w:p>
          <w:p w14:paraId="1A7759FB" w14:textId="77777777" w:rsidR="00C94569" w:rsidRPr="00C94569" w:rsidRDefault="00C94569" w:rsidP="00C94569">
            <w:pPr>
              <w:tabs>
                <w:tab w:val="left" w:pos="0"/>
              </w:tabs>
              <w:jc w:val="both"/>
              <w:rPr>
                <w:color w:val="000000" w:themeColor="text1"/>
              </w:rPr>
            </w:pPr>
            <w:r w:rsidRPr="00C94569">
              <w:rPr>
                <w:color w:val="000000" w:themeColor="text1"/>
              </w:rPr>
              <w:t>(1) Cílem zjišťovacího řízení u záměrů a změn záměrů uvedených v § 4 odst. 1 písm. a) je upřesnění informací, které je vhodné uvést do dokumentace, a to se zřetelem na</w:t>
            </w:r>
          </w:p>
          <w:p w14:paraId="6FC3ADD3" w14:textId="77777777" w:rsidR="00C94569" w:rsidRPr="00C94569" w:rsidRDefault="00C94569" w:rsidP="00C94569">
            <w:pPr>
              <w:tabs>
                <w:tab w:val="left" w:pos="0"/>
              </w:tabs>
              <w:jc w:val="both"/>
              <w:rPr>
                <w:color w:val="000000" w:themeColor="text1"/>
              </w:rPr>
            </w:pPr>
            <w:r w:rsidRPr="00C94569">
              <w:rPr>
                <w:color w:val="000000" w:themeColor="text1"/>
              </w:rPr>
              <w:t xml:space="preserve"> </w:t>
            </w:r>
          </w:p>
          <w:p w14:paraId="40F067F8" w14:textId="77777777" w:rsidR="00C94569" w:rsidRPr="00C94569" w:rsidRDefault="00C94569" w:rsidP="00C94569">
            <w:pPr>
              <w:tabs>
                <w:tab w:val="left" w:pos="0"/>
              </w:tabs>
              <w:jc w:val="both"/>
              <w:rPr>
                <w:color w:val="000000" w:themeColor="text1"/>
              </w:rPr>
            </w:pPr>
            <w:r w:rsidRPr="00C94569">
              <w:rPr>
                <w:color w:val="000000" w:themeColor="text1"/>
              </w:rPr>
              <w:t>a) povahu konkrétního záměru nebo druh záměru,</w:t>
            </w:r>
          </w:p>
          <w:p w14:paraId="61D179B9" w14:textId="77777777" w:rsidR="00C94569" w:rsidRPr="00C94569" w:rsidRDefault="00C94569" w:rsidP="00C94569">
            <w:pPr>
              <w:tabs>
                <w:tab w:val="left" w:pos="0"/>
              </w:tabs>
              <w:jc w:val="both"/>
              <w:rPr>
                <w:color w:val="000000" w:themeColor="text1"/>
              </w:rPr>
            </w:pPr>
            <w:r w:rsidRPr="00C94569">
              <w:rPr>
                <w:color w:val="000000" w:themeColor="text1"/>
              </w:rPr>
              <w:t xml:space="preserve"> </w:t>
            </w:r>
          </w:p>
          <w:p w14:paraId="3C3785E0" w14:textId="77777777" w:rsidR="00C94569" w:rsidRPr="00C94569" w:rsidRDefault="00C94569" w:rsidP="00C94569">
            <w:pPr>
              <w:tabs>
                <w:tab w:val="left" w:pos="0"/>
              </w:tabs>
              <w:jc w:val="both"/>
              <w:rPr>
                <w:color w:val="000000" w:themeColor="text1"/>
              </w:rPr>
            </w:pPr>
            <w:r w:rsidRPr="00C94569">
              <w:rPr>
                <w:color w:val="000000" w:themeColor="text1"/>
              </w:rPr>
              <w:t>b) faktory životního prostředí uvedené v § 2, které mohou být provedením záměru ovlivněny,</w:t>
            </w:r>
          </w:p>
          <w:p w14:paraId="3917A9C8" w14:textId="77777777" w:rsidR="00C94569" w:rsidRPr="00C94569" w:rsidRDefault="00C94569" w:rsidP="00C94569">
            <w:pPr>
              <w:tabs>
                <w:tab w:val="left" w:pos="0"/>
              </w:tabs>
              <w:jc w:val="both"/>
              <w:rPr>
                <w:color w:val="000000" w:themeColor="text1"/>
              </w:rPr>
            </w:pPr>
            <w:r w:rsidRPr="00C94569">
              <w:rPr>
                <w:color w:val="000000" w:themeColor="text1"/>
              </w:rPr>
              <w:t xml:space="preserve"> </w:t>
            </w:r>
          </w:p>
          <w:p w14:paraId="69D0F4E3" w14:textId="77777777" w:rsidR="00C94569" w:rsidRDefault="00C94569" w:rsidP="00C94569">
            <w:pPr>
              <w:tabs>
                <w:tab w:val="left" w:pos="0"/>
              </w:tabs>
              <w:jc w:val="both"/>
              <w:rPr>
                <w:color w:val="000000" w:themeColor="text1"/>
              </w:rPr>
            </w:pPr>
            <w:r w:rsidRPr="00C94569">
              <w:rPr>
                <w:color w:val="000000" w:themeColor="text1"/>
              </w:rPr>
              <w:lastRenderedPageBreak/>
              <w:t>c) současný stav poznatků a metody posuzování a</w:t>
            </w:r>
          </w:p>
          <w:p w14:paraId="0445B88C" w14:textId="77777777" w:rsidR="00C94569" w:rsidRDefault="00C94569" w:rsidP="00C94569">
            <w:pPr>
              <w:tabs>
                <w:tab w:val="left" w:pos="0"/>
              </w:tabs>
              <w:jc w:val="both"/>
              <w:rPr>
                <w:color w:val="000000" w:themeColor="text1"/>
              </w:rPr>
            </w:pPr>
          </w:p>
          <w:p w14:paraId="68CC9E25" w14:textId="40046939" w:rsidR="00C94569" w:rsidRPr="00C94569" w:rsidRDefault="00C94569" w:rsidP="00C94569">
            <w:pPr>
              <w:tabs>
                <w:tab w:val="left" w:pos="0"/>
              </w:tabs>
              <w:jc w:val="both"/>
              <w:rPr>
                <w:color w:val="000000" w:themeColor="text1"/>
              </w:rPr>
            </w:pPr>
            <w:r w:rsidRPr="00C94569">
              <w:rPr>
                <w:color w:val="000000" w:themeColor="text1"/>
              </w:rPr>
              <w:t>(4) Zjišťovací řízení ukončí příslušný úřad nejdéle do 45 dnů ode dne zveřejnění informace o oznámení podle § 16; v odůvodněných, zvlášť složitých, případech může být tato lhůta překročena, nejdéle však o 25 dnů. Závěr zjišťovacího řízení neprodleně zašle příslušný úřad oznamovateli, dotčeným územním samosprávným celkům a dotčeným orgánům a zveřejní jej podle § 16.</w:t>
            </w:r>
          </w:p>
        </w:tc>
        <w:tc>
          <w:tcPr>
            <w:tcW w:w="542" w:type="pct"/>
            <w:shd w:val="clear" w:color="auto" w:fill="auto"/>
            <w:tcMar>
              <w:top w:w="57" w:type="dxa"/>
              <w:bottom w:w="57" w:type="dxa"/>
            </w:tcMar>
          </w:tcPr>
          <w:p w14:paraId="0CDBF060" w14:textId="47840868"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6CA13ACF" w14:textId="34A4DEFE" w:rsidR="00187874" w:rsidRPr="00C2302B" w:rsidRDefault="00187874" w:rsidP="00187874">
            <w:pPr>
              <w:pStyle w:val="Default"/>
              <w:tabs>
                <w:tab w:val="left" w:pos="107"/>
              </w:tabs>
              <w:jc w:val="both"/>
            </w:pPr>
            <w:r>
              <w:t>Čl. 10 odst. 1</w:t>
            </w:r>
          </w:p>
        </w:tc>
        <w:tc>
          <w:tcPr>
            <w:tcW w:w="1753" w:type="pct"/>
            <w:shd w:val="clear" w:color="auto" w:fill="auto"/>
            <w:tcMar>
              <w:top w:w="57" w:type="dxa"/>
              <w:bottom w:w="57" w:type="dxa"/>
            </w:tcMar>
          </w:tcPr>
          <w:p w14:paraId="1309D637" w14:textId="77777777" w:rsidR="00187874" w:rsidRPr="009E5C5E" w:rsidRDefault="00187874" w:rsidP="00187874">
            <w:pPr>
              <w:pStyle w:val="Default"/>
              <w:tabs>
                <w:tab w:val="left" w:pos="107"/>
              </w:tabs>
              <w:jc w:val="both"/>
              <w:rPr>
                <w:rFonts w:ascii="Times New Roman" w:hAnsi="Times New Roman" w:cs="Times New Roman"/>
              </w:rPr>
            </w:pPr>
            <w:r w:rsidRPr="009E5C5E">
              <w:rPr>
                <w:rFonts w:ascii="Times New Roman" w:hAnsi="Times New Roman" w:cs="Times New Roman"/>
              </w:rPr>
              <w:t xml:space="preserve">Posouzení vlivů na životní prostředí a environmentální povolení </w:t>
            </w:r>
          </w:p>
          <w:p w14:paraId="005A104A" w14:textId="7B6BA962" w:rsidR="00187874" w:rsidRPr="009A66C2" w:rsidRDefault="00187874" w:rsidP="00187874">
            <w:pPr>
              <w:pStyle w:val="Default"/>
              <w:tabs>
                <w:tab w:val="left" w:pos="107"/>
              </w:tabs>
              <w:jc w:val="both"/>
              <w:rPr>
                <w:rFonts w:ascii="Times New Roman" w:hAnsi="Times New Roman" w:cs="Times New Roman"/>
              </w:rPr>
            </w:pPr>
            <w:r w:rsidRPr="009E5C5E">
              <w:rPr>
                <w:rFonts w:ascii="Times New Roman" w:hAnsi="Times New Roman" w:cs="Times New Roman"/>
              </w:rPr>
              <w:t xml:space="preserve">1. Pokud je podle článků 5 až 9 směrnice 2011/92/EU požadováno posouzení vlivů na životní prostředí, může dotčený předkladatel projektu před předložením žádosti jednotné kontaktní místo požádat o stanovisko k rozsahu </w:t>
            </w:r>
            <w:r w:rsidRPr="009E5C5E">
              <w:rPr>
                <w:rFonts w:ascii="Times New Roman" w:hAnsi="Times New Roman" w:cs="Times New Roman"/>
              </w:rPr>
              <w:lastRenderedPageBreak/>
              <w:t>a míře podrobnosti informací, které mají být zahrnuty do zprávy o posouzení vlivů na životní prostředí podle čl. 5 odst. 1 uvedené směrnice. Jednotné kontaktní místo zajistí, aby toto stanovisko bylo vydáno co nejdříve, nejpozději však do 45 dnů ode dne, kdy předkladatel projektu o stanovisko požádal.</w:t>
            </w:r>
          </w:p>
        </w:tc>
      </w:tr>
      <w:tr w:rsidR="00187874" w:rsidRPr="005D452F" w14:paraId="653ADD77" w14:textId="77777777" w:rsidTr="00A267C2">
        <w:tc>
          <w:tcPr>
            <w:tcW w:w="525" w:type="pct"/>
            <w:shd w:val="clear" w:color="auto" w:fill="auto"/>
            <w:tcMar>
              <w:top w:w="57" w:type="dxa"/>
              <w:bottom w:w="57" w:type="dxa"/>
            </w:tcMar>
          </w:tcPr>
          <w:p w14:paraId="00C910D8" w14:textId="4C79C78B" w:rsidR="00187874" w:rsidRPr="00FB58A3" w:rsidRDefault="00F00028" w:rsidP="00187874">
            <w:r>
              <w:lastRenderedPageBreak/>
              <w:t xml:space="preserve">§ 9a odst. 1 zákona č. 100/2001 Sb., </w:t>
            </w:r>
            <w:r w:rsidRPr="00F00028">
              <w:t>o posuzování vlivů na životní prostředí a o změně některých souvisejících zákonů</w:t>
            </w:r>
          </w:p>
        </w:tc>
        <w:tc>
          <w:tcPr>
            <w:tcW w:w="1693" w:type="pct"/>
            <w:shd w:val="clear" w:color="auto" w:fill="auto"/>
            <w:tcMar>
              <w:top w:w="57" w:type="dxa"/>
              <w:bottom w:w="57" w:type="dxa"/>
            </w:tcMar>
          </w:tcPr>
          <w:p w14:paraId="3C97D1B0" w14:textId="4D1B8718" w:rsidR="00187874" w:rsidRPr="00F00028" w:rsidRDefault="00F00028" w:rsidP="00187874">
            <w:pPr>
              <w:tabs>
                <w:tab w:val="left" w:pos="0"/>
              </w:tabs>
              <w:jc w:val="both"/>
              <w:rPr>
                <w:color w:val="000000" w:themeColor="text1"/>
              </w:rPr>
            </w:pPr>
            <w:r w:rsidRPr="00F00028">
              <w:rPr>
                <w:color w:val="000000" w:themeColor="text1"/>
              </w:rPr>
              <w:t>(1) Příslušný úřad vydá na základě dokumentace, popřípadě rovněž na základě žádosti o jednotné environmentální stanovisko, vyjádření k nim podaných, veřejného projednání a posudku závazné stanovisko k posouzení vlivů provedení záměru na životní prostředí (dále jen "stanovisko") ve lhůtě do 30 dnů ode dne obdržení posudku. Náležitosti stanoviska jsou uvedeny v příloze č. 6 k tomuto zákonu. Stanovisko dále obsahuje náležitosti stanovené zákonem o jednotném environmentálním stanovisku a jinými právními předpisy, nejedná-li se o záměr, u něhož oznamovatel nepožádal o vydání jednotného environmentálního stanoviska.</w:t>
            </w:r>
          </w:p>
        </w:tc>
        <w:tc>
          <w:tcPr>
            <w:tcW w:w="542" w:type="pct"/>
            <w:shd w:val="clear" w:color="auto" w:fill="auto"/>
            <w:tcMar>
              <w:top w:w="57" w:type="dxa"/>
              <w:bottom w:w="57" w:type="dxa"/>
            </w:tcMar>
          </w:tcPr>
          <w:p w14:paraId="27540EA7" w14:textId="3E942082" w:rsidR="00187874" w:rsidRPr="00B3357D" w:rsidRDefault="00FE5A0F" w:rsidP="00187874">
            <w:r w:rsidRPr="00163132">
              <w:rPr>
                <w:color w:val="333333"/>
                <w:shd w:val="clear" w:color="auto" w:fill="FFFFFF"/>
              </w:rPr>
              <w:t>32024R1735</w:t>
            </w:r>
          </w:p>
        </w:tc>
        <w:tc>
          <w:tcPr>
            <w:tcW w:w="487" w:type="pct"/>
            <w:shd w:val="clear" w:color="auto" w:fill="auto"/>
            <w:tcMar>
              <w:top w:w="57" w:type="dxa"/>
              <w:bottom w:w="57" w:type="dxa"/>
            </w:tcMar>
          </w:tcPr>
          <w:p w14:paraId="5EC2E712" w14:textId="45E0CC6D" w:rsidR="00187874" w:rsidRPr="00E22267" w:rsidRDefault="00187874" w:rsidP="00187874">
            <w:pPr>
              <w:pStyle w:val="Default"/>
              <w:tabs>
                <w:tab w:val="left" w:pos="107"/>
              </w:tabs>
              <w:jc w:val="both"/>
              <w:rPr>
                <w:rFonts w:ascii="Times New Roman" w:hAnsi="Times New Roman" w:cs="Times New Roman"/>
                <w:noProof/>
                <w:color w:val="auto"/>
              </w:rPr>
            </w:pPr>
            <w:r>
              <w:t>Čl. 10 odst. 3</w:t>
            </w:r>
          </w:p>
        </w:tc>
        <w:tc>
          <w:tcPr>
            <w:tcW w:w="1753" w:type="pct"/>
            <w:shd w:val="clear" w:color="auto" w:fill="auto"/>
            <w:tcMar>
              <w:top w:w="57" w:type="dxa"/>
              <w:bottom w:w="57" w:type="dxa"/>
            </w:tcMar>
          </w:tcPr>
          <w:p w14:paraId="76278589" w14:textId="51C23A31" w:rsidR="00187874" w:rsidRPr="008644D9" w:rsidRDefault="00187874" w:rsidP="00187874">
            <w:pPr>
              <w:pStyle w:val="Default"/>
              <w:tabs>
                <w:tab w:val="left" w:pos="107"/>
              </w:tabs>
              <w:jc w:val="both"/>
              <w:rPr>
                <w:rFonts w:ascii="Times New Roman" w:hAnsi="Times New Roman" w:cs="Times New Roman"/>
                <w:noProof/>
                <w:color w:val="auto"/>
              </w:rPr>
            </w:pPr>
            <w:r w:rsidRPr="008644D9">
              <w:rPr>
                <w:rFonts w:ascii="Times New Roman" w:hAnsi="Times New Roman" w:cs="Times New Roman"/>
              </w:rPr>
              <w:t xml:space="preserve">3. Členské státy zajistí, aby příslušné orgány vydaly odůvodněný závěr podle čl. 1 odst. 2 písm. g) bodu </w:t>
            </w:r>
            <w:proofErr w:type="spellStart"/>
            <w:r w:rsidRPr="008644D9">
              <w:rPr>
                <w:rFonts w:ascii="Times New Roman" w:hAnsi="Times New Roman" w:cs="Times New Roman"/>
              </w:rPr>
              <w:t>iv</w:t>
            </w:r>
            <w:proofErr w:type="spellEnd"/>
            <w:r w:rsidRPr="008644D9">
              <w:rPr>
                <w:rFonts w:ascii="Times New Roman" w:hAnsi="Times New Roman" w:cs="Times New Roman"/>
              </w:rPr>
              <w:t>) směrnice 2011/92/EU o posuzování vlivů na životní prostředí, a to do 90 dnů od obdržení všech nezbytných informací podle článků 5, 6 a 7 uvedené směrnice a po dokončení konzultací podle článků 6 a 7 uvedené směrnice.</w:t>
            </w:r>
          </w:p>
        </w:tc>
      </w:tr>
      <w:tr w:rsidR="00187874" w:rsidRPr="005D452F" w14:paraId="0EDD5E60" w14:textId="77777777" w:rsidTr="00A267C2">
        <w:tc>
          <w:tcPr>
            <w:tcW w:w="525" w:type="pct"/>
            <w:shd w:val="clear" w:color="auto" w:fill="auto"/>
            <w:tcMar>
              <w:top w:w="57" w:type="dxa"/>
              <w:bottom w:w="57" w:type="dxa"/>
            </w:tcMar>
          </w:tcPr>
          <w:p w14:paraId="0BFF3A57" w14:textId="3DDD0CA0" w:rsidR="00187874" w:rsidRDefault="00314AAF" w:rsidP="00187874">
            <w:r>
              <w:t xml:space="preserve">§ </w:t>
            </w:r>
            <w:r w:rsidR="00497274">
              <w:t>7</w:t>
            </w:r>
          </w:p>
          <w:p w14:paraId="577E8229" w14:textId="2B5432F7" w:rsidR="00F00028" w:rsidRDefault="00F00028" w:rsidP="00187874"/>
          <w:p w14:paraId="5833FFED" w14:textId="5DEE0AE7" w:rsidR="00F00028" w:rsidRDefault="00F00028" w:rsidP="00187874"/>
          <w:p w14:paraId="59046B41" w14:textId="199386CA" w:rsidR="00F00028" w:rsidRDefault="00F00028" w:rsidP="00187874"/>
          <w:p w14:paraId="4BA6B59E" w14:textId="55925E1E" w:rsidR="00F00028" w:rsidRDefault="00F00028" w:rsidP="00187874">
            <w:r>
              <w:lastRenderedPageBreak/>
              <w:t xml:space="preserve">§ 9a odst. 1 zákona č. 100/2001 Sb., </w:t>
            </w:r>
            <w:r w:rsidRPr="00F00028">
              <w:t>o posuzování vlivů na životní prostředí a o změně některých souvisejících zákonů</w:t>
            </w:r>
          </w:p>
          <w:p w14:paraId="67FE2426" w14:textId="77777777" w:rsidR="00F00028" w:rsidRDefault="00F00028" w:rsidP="00187874"/>
          <w:p w14:paraId="565A1AD3" w14:textId="77777777" w:rsidR="00F00028" w:rsidRDefault="00F00028" w:rsidP="00187874"/>
          <w:p w14:paraId="109145FD" w14:textId="6F2D86FD" w:rsidR="00F00028" w:rsidRPr="00FB58A3" w:rsidRDefault="00F00028" w:rsidP="00187874"/>
        </w:tc>
        <w:tc>
          <w:tcPr>
            <w:tcW w:w="1693" w:type="pct"/>
            <w:shd w:val="clear" w:color="auto" w:fill="auto"/>
            <w:tcMar>
              <w:top w:w="57" w:type="dxa"/>
              <w:bottom w:w="57" w:type="dxa"/>
            </w:tcMar>
          </w:tcPr>
          <w:p w14:paraId="704328A1" w14:textId="77777777" w:rsidR="00187874" w:rsidRDefault="00314AAF" w:rsidP="00187874">
            <w:pPr>
              <w:tabs>
                <w:tab w:val="left" w:pos="0"/>
              </w:tabs>
              <w:jc w:val="both"/>
              <w:rPr>
                <w:color w:val="000000" w:themeColor="text1"/>
                <w:u w:val="single"/>
              </w:rPr>
            </w:pPr>
            <w:r w:rsidRPr="00187874">
              <w:rPr>
                <w:color w:val="000000" w:themeColor="text1"/>
                <w:u w:val="single"/>
              </w:rPr>
              <w:lastRenderedPageBreak/>
              <w:t>Orgány v oblasti posuzování vlivů na životní prostředí postupují podle čl. 10 odst. 4 nařízení Evropského parlamentu a Rady (EU) 2024/1735.</w:t>
            </w:r>
          </w:p>
          <w:p w14:paraId="59ED0374" w14:textId="725B1E6C" w:rsidR="00F00028" w:rsidRDefault="00F00028" w:rsidP="00187874">
            <w:pPr>
              <w:tabs>
                <w:tab w:val="left" w:pos="0"/>
              </w:tabs>
              <w:jc w:val="both"/>
              <w:rPr>
                <w:color w:val="000000" w:themeColor="text1"/>
                <w:u w:val="single"/>
              </w:rPr>
            </w:pPr>
            <w:r w:rsidRPr="00F00028">
              <w:rPr>
                <w:color w:val="000000" w:themeColor="text1"/>
              </w:rPr>
              <w:lastRenderedPageBreak/>
              <w:t xml:space="preserve">(1) Příslušný úřad vydá na základě dokumentace, popřípadě rovněž na základě žádosti o jednotné environmentální stanovisko, vyjádření k nim podaných, veřejného projednání a posudku závazné stanovisko k posouzení vlivů provedení záměru na životní prostředí (dále jen "stanovisko") ve lhůtě do 30 dnů ode dne obdržení posudku. Náležitosti stanoviska jsou uvedeny v příloze č. 6 </w:t>
            </w:r>
            <w:r w:rsidR="00973081">
              <w:rPr>
                <w:color w:val="000000" w:themeColor="text1"/>
              </w:rPr>
              <w:t xml:space="preserve"> </w:t>
            </w:r>
            <w:r w:rsidRPr="00F00028">
              <w:rPr>
                <w:color w:val="000000" w:themeColor="text1"/>
              </w:rPr>
              <w:t>k tomuto zákonu. Stanovisko dále obsahuje náležitosti stanovené zákonem o jednotném environmentálním stanovisku a jinými právními předpisy, nejedná-li se o záměr, u něhož oznamovatel nepožádal o vydání jednotného environmentálního stanoviska.</w:t>
            </w:r>
          </w:p>
          <w:p w14:paraId="3036B67B" w14:textId="5F97B44E" w:rsidR="00F00028" w:rsidRPr="00B3357D" w:rsidRDefault="00F00028" w:rsidP="00187874">
            <w:pPr>
              <w:tabs>
                <w:tab w:val="left" w:pos="0"/>
              </w:tabs>
              <w:jc w:val="both"/>
            </w:pPr>
          </w:p>
        </w:tc>
        <w:tc>
          <w:tcPr>
            <w:tcW w:w="542" w:type="pct"/>
            <w:shd w:val="clear" w:color="auto" w:fill="auto"/>
            <w:tcMar>
              <w:top w:w="57" w:type="dxa"/>
              <w:bottom w:w="57" w:type="dxa"/>
            </w:tcMar>
          </w:tcPr>
          <w:p w14:paraId="3E034FAC" w14:textId="2A053F04"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20143BCC" w14:textId="2497865D" w:rsidR="00187874" w:rsidRDefault="00187874" w:rsidP="00187874">
            <w:pPr>
              <w:pStyle w:val="Default"/>
              <w:tabs>
                <w:tab w:val="left" w:pos="107"/>
              </w:tabs>
              <w:jc w:val="both"/>
            </w:pPr>
            <w:r>
              <w:t>Čl. 10 odst. 4</w:t>
            </w:r>
          </w:p>
        </w:tc>
        <w:tc>
          <w:tcPr>
            <w:tcW w:w="1753" w:type="pct"/>
            <w:shd w:val="clear" w:color="auto" w:fill="auto"/>
            <w:tcMar>
              <w:top w:w="57" w:type="dxa"/>
              <w:bottom w:w="57" w:type="dxa"/>
            </w:tcMar>
          </w:tcPr>
          <w:p w14:paraId="4346D16F" w14:textId="1090F36D" w:rsidR="00187874" w:rsidRPr="008644D9" w:rsidRDefault="00187874" w:rsidP="00187874">
            <w:pPr>
              <w:pStyle w:val="Default"/>
              <w:tabs>
                <w:tab w:val="left" w:pos="107"/>
              </w:tabs>
              <w:jc w:val="both"/>
              <w:rPr>
                <w:rFonts w:ascii="Times New Roman" w:hAnsi="Times New Roman" w:cs="Times New Roman"/>
              </w:rPr>
            </w:pPr>
            <w:r w:rsidRPr="009E5C5E">
              <w:rPr>
                <w:rFonts w:ascii="Times New Roman" w:hAnsi="Times New Roman" w:cs="Times New Roman"/>
              </w:rPr>
              <w:t xml:space="preserve">4. Ve výjimečných případech, kdy to vyžaduje povaha, složitost, umístění nebo velikost navrhovaného projektu, mohou členské státy v jednotlivých případech lhůtu uvedenou v </w:t>
            </w:r>
            <w:r w:rsidRPr="009E5C5E">
              <w:rPr>
                <w:rFonts w:ascii="Times New Roman" w:hAnsi="Times New Roman" w:cs="Times New Roman"/>
              </w:rPr>
              <w:lastRenderedPageBreak/>
              <w:t>odstavci 3 před uplynutím její platnosti prodloužit, a to nejvýše o 20 dnů. V takovém případě dotčené jednotné kontaktní místo písemně informuje předkladatele projektu o důvodech prodloužení a o lhůtě pro vydání odůvodněného závěru.</w:t>
            </w:r>
          </w:p>
        </w:tc>
      </w:tr>
      <w:tr w:rsidR="00187874" w:rsidRPr="005D452F" w14:paraId="3A02A8D7" w14:textId="77777777" w:rsidTr="00A267C2">
        <w:tc>
          <w:tcPr>
            <w:tcW w:w="525" w:type="pct"/>
            <w:shd w:val="clear" w:color="auto" w:fill="auto"/>
            <w:tcMar>
              <w:top w:w="57" w:type="dxa"/>
              <w:bottom w:w="57" w:type="dxa"/>
            </w:tcMar>
          </w:tcPr>
          <w:p w14:paraId="4DAD6FEE" w14:textId="02832864" w:rsidR="00187874" w:rsidRPr="00FB58A3" w:rsidRDefault="00314AAF" w:rsidP="00187874">
            <w:r>
              <w:lastRenderedPageBreak/>
              <w:t xml:space="preserve">§ </w:t>
            </w:r>
            <w:r w:rsidR="000D2912">
              <w:t>8</w:t>
            </w:r>
          </w:p>
        </w:tc>
        <w:tc>
          <w:tcPr>
            <w:tcW w:w="1693" w:type="pct"/>
            <w:shd w:val="clear" w:color="auto" w:fill="auto"/>
            <w:tcMar>
              <w:top w:w="57" w:type="dxa"/>
              <w:bottom w:w="57" w:type="dxa"/>
            </w:tcMar>
          </w:tcPr>
          <w:p w14:paraId="5A911AF3" w14:textId="77777777" w:rsidR="000D2912" w:rsidRPr="000D2912" w:rsidRDefault="000D2912" w:rsidP="000D2912">
            <w:pPr>
              <w:tabs>
                <w:tab w:val="left" w:pos="0"/>
              </w:tabs>
              <w:jc w:val="both"/>
              <w:rPr>
                <w:u w:val="single"/>
              </w:rPr>
            </w:pPr>
            <w:r w:rsidRPr="000D2912">
              <w:rPr>
                <w:u w:val="single"/>
              </w:rPr>
              <w:t xml:space="preserve">Orgány územního plánování postupují podle čl. 11 odst. 1 nařízení Evropského parlamentu a Rady (EU) 2024/1735. </w:t>
            </w:r>
          </w:p>
          <w:p w14:paraId="11ABCF70" w14:textId="1E987A1B" w:rsidR="00187874" w:rsidRPr="00314AAF" w:rsidRDefault="00187874" w:rsidP="00187874">
            <w:pPr>
              <w:tabs>
                <w:tab w:val="left" w:pos="0"/>
              </w:tabs>
              <w:jc w:val="both"/>
              <w:rPr>
                <w:u w:val="single"/>
              </w:rPr>
            </w:pPr>
          </w:p>
        </w:tc>
        <w:tc>
          <w:tcPr>
            <w:tcW w:w="542" w:type="pct"/>
            <w:shd w:val="clear" w:color="auto" w:fill="auto"/>
            <w:tcMar>
              <w:top w:w="57" w:type="dxa"/>
              <w:bottom w:w="57" w:type="dxa"/>
            </w:tcMar>
          </w:tcPr>
          <w:p w14:paraId="0741AFB1" w14:textId="264F33D4"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7DFDCF05" w14:textId="7BC28353" w:rsidR="00187874" w:rsidRDefault="00187874" w:rsidP="00187874">
            <w:pPr>
              <w:pStyle w:val="Default"/>
              <w:tabs>
                <w:tab w:val="left" w:pos="107"/>
              </w:tabs>
              <w:jc w:val="both"/>
            </w:pPr>
            <w:r>
              <w:t>Čl. 11 odst. 1</w:t>
            </w:r>
          </w:p>
        </w:tc>
        <w:tc>
          <w:tcPr>
            <w:tcW w:w="1753" w:type="pct"/>
            <w:shd w:val="clear" w:color="auto" w:fill="auto"/>
            <w:tcMar>
              <w:top w:w="57" w:type="dxa"/>
              <w:bottom w:w="57" w:type="dxa"/>
            </w:tcMar>
          </w:tcPr>
          <w:p w14:paraId="4A7CEE49" w14:textId="77777777" w:rsidR="00187874" w:rsidRPr="00E107CB" w:rsidRDefault="00187874" w:rsidP="00187874">
            <w:pPr>
              <w:pStyle w:val="Default"/>
              <w:tabs>
                <w:tab w:val="left" w:pos="107"/>
              </w:tabs>
              <w:jc w:val="both"/>
              <w:rPr>
                <w:rFonts w:ascii="Times New Roman" w:hAnsi="Times New Roman" w:cs="Times New Roman"/>
              </w:rPr>
            </w:pPr>
            <w:r w:rsidRPr="00E107CB">
              <w:rPr>
                <w:rFonts w:ascii="Times New Roman" w:hAnsi="Times New Roman" w:cs="Times New Roman"/>
              </w:rPr>
              <w:t>Plánování</w:t>
            </w:r>
          </w:p>
          <w:p w14:paraId="0CFBFC17" w14:textId="35CE399E" w:rsidR="00187874" w:rsidRPr="009E5C5E" w:rsidRDefault="00187874" w:rsidP="00187874">
            <w:pPr>
              <w:pStyle w:val="Default"/>
              <w:tabs>
                <w:tab w:val="left" w:pos="107"/>
              </w:tabs>
              <w:jc w:val="both"/>
              <w:rPr>
                <w:rFonts w:ascii="Times New Roman" w:hAnsi="Times New Roman" w:cs="Times New Roman"/>
              </w:rPr>
            </w:pPr>
            <w:r w:rsidRPr="00E107CB">
              <w:rPr>
                <w:rFonts w:ascii="Times New Roman" w:hAnsi="Times New Roman" w:cs="Times New Roman"/>
              </w:rPr>
              <w:t xml:space="preserve">1. Celostátní, regionální a místní orgány odpovědné za přípravu plánů, včetně územního plánování, územních plánů a plánů využití půdy zváží, zda do těchto plánů ve vhodných případech nezahrnou ustanovení týkající se rozvoje projektů výroby technologií pro nulové čisté emise, včetně strategických projektů pro nulové čisté emise a případně údolí pro urychlení zavádění technologií pro nulové čisté emise, jakož i veškerou nezbytnou infrastrukturu. Uvažuje-li se o zahrnutí takových ustanovení, upřednostní se umělé a zastavěné plochy, průmyslové areály a opuštěné a chátrající průmyslové pozemky nebo objekty </w:t>
            </w:r>
            <w:r w:rsidRPr="00E107CB">
              <w:rPr>
                <w:rFonts w:ascii="Times New Roman" w:hAnsi="Times New Roman" w:cs="Times New Roman"/>
              </w:rPr>
              <w:lastRenderedPageBreak/>
              <w:t>(brownfieldy). Pro usnadnění rozvoje projektů výroby technologií pro nulové čisté emise členské státy zajistí, aby byly všechny relevantní údaje o územním plánování v souladu s článkem 7 dostupné online.</w:t>
            </w:r>
          </w:p>
        </w:tc>
      </w:tr>
      <w:tr w:rsidR="00187874" w:rsidRPr="005D452F" w14:paraId="59236B86" w14:textId="77777777" w:rsidTr="00A267C2">
        <w:tc>
          <w:tcPr>
            <w:tcW w:w="525" w:type="pct"/>
            <w:shd w:val="clear" w:color="auto" w:fill="auto"/>
            <w:tcMar>
              <w:top w:w="57" w:type="dxa"/>
              <w:bottom w:w="57" w:type="dxa"/>
            </w:tcMar>
          </w:tcPr>
          <w:p w14:paraId="28AA59FA" w14:textId="459216AB" w:rsidR="00187874" w:rsidRPr="00FB58A3" w:rsidRDefault="00E54C90" w:rsidP="00187874">
            <w:r>
              <w:lastRenderedPageBreak/>
              <w:t xml:space="preserve">§ 4 odst. </w:t>
            </w:r>
            <w:r w:rsidR="00AD5CB7">
              <w:t>3</w:t>
            </w:r>
          </w:p>
        </w:tc>
        <w:tc>
          <w:tcPr>
            <w:tcW w:w="1693" w:type="pct"/>
            <w:shd w:val="clear" w:color="auto" w:fill="auto"/>
            <w:tcMar>
              <w:top w:w="57" w:type="dxa"/>
              <w:bottom w:w="57" w:type="dxa"/>
            </w:tcMar>
          </w:tcPr>
          <w:p w14:paraId="221C4004" w14:textId="203AA46C" w:rsidR="00AD5CB7" w:rsidRPr="00845D81" w:rsidRDefault="00AD5CB7" w:rsidP="00845D81">
            <w:pPr>
              <w:pStyle w:val="Odstavecseseznamem"/>
              <w:numPr>
                <w:ilvl w:val="0"/>
                <w:numId w:val="29"/>
              </w:numPr>
              <w:tabs>
                <w:tab w:val="left" w:pos="0"/>
              </w:tabs>
              <w:ind w:left="-29" w:firstLine="0"/>
              <w:jc w:val="both"/>
              <w:rPr>
                <w:u w:val="single"/>
              </w:rPr>
            </w:pPr>
            <w:r w:rsidRPr="00845D81">
              <w:rPr>
                <w:u w:val="single"/>
              </w:rPr>
              <w:t xml:space="preserve">Ministerstvo posoudí žádost z hlediska předpokladů naplnění kvalifikačních kritérií stanovených nařízením Evropského parlamentu a Rady (EU) 2024/1735, k čemuž si může vyžádat  stanovisko Ministerstva životního prostředí k čl. </w:t>
            </w:r>
            <w:bookmarkStart w:id="1" w:name="_Hlk190248178"/>
            <w:r w:rsidRPr="00845D81">
              <w:rPr>
                <w:u w:val="single"/>
              </w:rPr>
              <w:t xml:space="preserve">13 odst. 1 písm. a) bodu i) </w:t>
            </w:r>
            <w:bookmarkEnd w:id="1"/>
            <w:r w:rsidRPr="00845D81">
              <w:rPr>
                <w:u w:val="single"/>
              </w:rPr>
              <w:t xml:space="preserve">a písmene c) nařízení Evropského parlamentu a Rady (EU) 2024/1735,  Ministerstva práce a sociálních věcí k čl. 13 odst. 1 písm. a) bodu i)  nařízení Evropského parlamentu a Rady (EU) 2024/1735 a Ministerstva školství, mládeže a tělovýchovy k čl. 13 odst. 1 písm. a) bodu i) nařízení Evropského parlamentu a Rady (EU) 2024/1735. Ministerstvo životního prostředí, Ministerstvo práce a sociálních věcí a Ministerstvo školství, mládeže a tělovýchovy vydají své stanovisko do dvou týdnů od obdržení žádosti ministerstva. </w:t>
            </w:r>
          </w:p>
          <w:p w14:paraId="2A4A9973" w14:textId="13363858" w:rsidR="00187874" w:rsidRPr="00B3357D" w:rsidRDefault="00187874" w:rsidP="00187874">
            <w:pPr>
              <w:tabs>
                <w:tab w:val="left" w:pos="0"/>
              </w:tabs>
              <w:jc w:val="both"/>
            </w:pPr>
          </w:p>
        </w:tc>
        <w:tc>
          <w:tcPr>
            <w:tcW w:w="542" w:type="pct"/>
            <w:shd w:val="clear" w:color="auto" w:fill="auto"/>
            <w:tcMar>
              <w:top w:w="57" w:type="dxa"/>
              <w:bottom w:w="57" w:type="dxa"/>
            </w:tcMar>
          </w:tcPr>
          <w:p w14:paraId="0AED8B26" w14:textId="1E28C67A"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55FFF763" w14:textId="44DA3CC5" w:rsidR="00187874" w:rsidRDefault="00187874" w:rsidP="00187874">
            <w:r>
              <w:t>Čl. 13 odst. 1</w:t>
            </w:r>
          </w:p>
        </w:tc>
        <w:tc>
          <w:tcPr>
            <w:tcW w:w="1753" w:type="pct"/>
            <w:shd w:val="clear" w:color="auto" w:fill="auto"/>
            <w:tcMar>
              <w:top w:w="57" w:type="dxa"/>
              <w:bottom w:w="57" w:type="dxa"/>
            </w:tcMar>
          </w:tcPr>
          <w:p w14:paraId="31E9EDF8" w14:textId="77777777" w:rsidR="00187874" w:rsidRDefault="00187874" w:rsidP="00187874">
            <w:pPr>
              <w:jc w:val="both"/>
            </w:pPr>
            <w:r>
              <w:t>Kvalifikační kritéria pro výběr</w:t>
            </w:r>
          </w:p>
          <w:p w14:paraId="765B11D7" w14:textId="77777777" w:rsidR="00187874" w:rsidRDefault="00187874" w:rsidP="00187874">
            <w:pPr>
              <w:jc w:val="both"/>
            </w:pPr>
            <w:r>
              <w:t>Členské státy uznají za strategické projekty pro nulové čisté emise projekty výroby technologií pro nulové čisté emise nacházející se v Unii, které přispívají k dosažení cílů stanovených v článku 1, včetně přispívání k cílům Unie v oblasti klimatu nebo energetiky, a splňují alespoň jedno z těchto kritérií:</w:t>
            </w:r>
          </w:p>
          <w:p w14:paraId="1EC861A3" w14:textId="77777777" w:rsidR="00187874" w:rsidRDefault="00187874" w:rsidP="00187874">
            <w:pPr>
              <w:jc w:val="both"/>
            </w:pPr>
          </w:p>
          <w:p w14:paraId="08567FDD" w14:textId="77777777" w:rsidR="00187874" w:rsidRDefault="00187874" w:rsidP="00187874">
            <w:pPr>
              <w:jc w:val="both"/>
            </w:pPr>
            <w:r>
              <w:t>a) projekt výroby technologií pro nulové čisté emise přispívá k technologické a průmyslové odolnosti technologií Unie pro nulové emise tím, že zvyšuje výrobní kapacitu určité součásti nebo segmentu dodavatelského řetězce technologií pro nulové čisté emise tím, že:</w:t>
            </w:r>
          </w:p>
          <w:p w14:paraId="7973E5FF" w14:textId="77777777" w:rsidR="00187874" w:rsidRDefault="00187874" w:rsidP="00187874">
            <w:pPr>
              <w:jc w:val="both"/>
            </w:pPr>
            <w:r>
              <w:t>i) zvýší v Unii výrobní kapacitu pro technologii pro nulové čisté emise, u níž je Unie z více než 50 % závislá na dovozu ze třetích zemí;</w:t>
            </w:r>
          </w:p>
          <w:p w14:paraId="6E4B67FD" w14:textId="77777777" w:rsidR="00187874" w:rsidRDefault="00187874" w:rsidP="00187874">
            <w:pPr>
              <w:jc w:val="both"/>
            </w:pPr>
            <w:r>
              <w:t>ii) výrazně zvýší výrobní kapacitu tím, že významně přispěje k dosažení cílů Unie v oblasti klimatu nebo energetiky do roku 2030; nebo</w:t>
            </w:r>
          </w:p>
          <w:p w14:paraId="5DE13498" w14:textId="77777777" w:rsidR="00187874" w:rsidRDefault="00187874" w:rsidP="00187874">
            <w:pPr>
              <w:jc w:val="both"/>
            </w:pPr>
            <w:r>
              <w:t xml:space="preserve">iii) zvýší výrobní kapacitu nebo aktualizuje stávající výrobní kapacitu v Unii, pokud jde o technologii pro nulové čisté emise, u níž výrobní kapacita Unie představuje významný podíl </w:t>
            </w:r>
            <w:r>
              <w:lastRenderedPageBreak/>
              <w:t>světové výroby a která hraje klíčovou úlohu pro odolnost Unie;</w:t>
            </w:r>
          </w:p>
          <w:p w14:paraId="23AB8369" w14:textId="77777777" w:rsidR="00187874" w:rsidRDefault="00187874" w:rsidP="00187874">
            <w:pPr>
              <w:jc w:val="both"/>
            </w:pPr>
          </w:p>
          <w:p w14:paraId="05DD24F8" w14:textId="77777777" w:rsidR="00187874" w:rsidRDefault="00187874" w:rsidP="00187874">
            <w:pPr>
              <w:jc w:val="both"/>
            </w:pPr>
            <w:r>
              <w:t>b) projekt výroby technologií pro nulové čisté emise má jasný pozitivní dopad na dodavatelský řetězec průmyslu Unie pro nulové čisté emise nebo na navazující odvětví tím, že evropským průmyslovým odvětvím pro nulové čisté emise poskytuje přístup k nejlepší dostupné technologii pro nulové čisté emise nebo k produktům vyráběným v prvním výrobním zařízení svého druhu a splňuje alespoň jedno z těchto kritérií:</w:t>
            </w:r>
          </w:p>
          <w:p w14:paraId="0FDFFF0F" w14:textId="77777777" w:rsidR="00187874" w:rsidRDefault="00187874" w:rsidP="00187874">
            <w:pPr>
              <w:jc w:val="both"/>
            </w:pPr>
            <w:r>
              <w:t>i) zavádí opatření za účelem přilákání pracovní síly potřebné pro technologie pro nulové čisté emise, jejího udržení, prohlubování dovedností pracovníků nebo změny jejich kvalifikace, mimo jiné i prostřednictvím učňovské přípravy, stáží, dalšího vzdělávání a odborné přípravy, a to v úzké spolupráci s regionálními a místními orgány, institucemi zajišťujícími vzdělávání a odbornou přípravu, a se sociálními partnery, včetně odborových svazů;</w:t>
            </w:r>
          </w:p>
          <w:p w14:paraId="1F48A86F" w14:textId="77777777" w:rsidR="00187874" w:rsidRDefault="00187874" w:rsidP="00187874">
            <w:pPr>
              <w:jc w:val="both"/>
            </w:pPr>
            <w:r>
              <w:t>ii) přispívá ke konkurenceschopnosti malých a středních podniků v rámci dodavatelského řetězce technologií pro nulové čisté emise;</w:t>
            </w:r>
          </w:p>
          <w:p w14:paraId="417276D4" w14:textId="77777777" w:rsidR="00187874" w:rsidRDefault="00187874" w:rsidP="00187874">
            <w:pPr>
              <w:jc w:val="both"/>
            </w:pPr>
          </w:p>
          <w:p w14:paraId="57C26ED9" w14:textId="5F4567F3" w:rsidR="00187874" w:rsidRPr="006906D1" w:rsidRDefault="00187874" w:rsidP="00187874">
            <w:pPr>
              <w:jc w:val="both"/>
            </w:pPr>
            <w:r>
              <w:t xml:space="preserve">c) daný projekt přispívá k dosažení cílů Unie v oblasti klimatu nebo energetiky výrobou technologií pro nulové čisté emise prostřednictvím postupů, které zavádějí prvky lepší environmentální udržitelnosti a výkonnosti nebo oběhovosti, včetně komplexní </w:t>
            </w:r>
            <w:r>
              <w:lastRenderedPageBreak/>
              <w:t>nízkouhlíkové, energetické, vodní nebo materiálové účinnosti a postupů, které významně a trvale snižují míru emisí ekvivalentu CO2.</w:t>
            </w:r>
          </w:p>
        </w:tc>
      </w:tr>
      <w:tr w:rsidR="00187874" w:rsidRPr="005D452F" w14:paraId="5FF6296D" w14:textId="77777777" w:rsidTr="00A267C2">
        <w:tc>
          <w:tcPr>
            <w:tcW w:w="525" w:type="pct"/>
            <w:shd w:val="clear" w:color="auto" w:fill="auto"/>
            <w:tcMar>
              <w:top w:w="57" w:type="dxa"/>
              <w:bottom w:w="57" w:type="dxa"/>
            </w:tcMar>
          </w:tcPr>
          <w:p w14:paraId="6F1112EA" w14:textId="76E42A94" w:rsidR="00187874" w:rsidRPr="00FB58A3" w:rsidRDefault="008973A8" w:rsidP="00187874">
            <w:r>
              <w:lastRenderedPageBreak/>
              <w:t xml:space="preserve">§ 4 odst. </w:t>
            </w:r>
            <w:r w:rsidR="001E2960">
              <w:t>3</w:t>
            </w:r>
          </w:p>
        </w:tc>
        <w:tc>
          <w:tcPr>
            <w:tcW w:w="1693" w:type="pct"/>
            <w:shd w:val="clear" w:color="auto" w:fill="auto"/>
            <w:tcMar>
              <w:top w:w="57" w:type="dxa"/>
              <w:bottom w:w="57" w:type="dxa"/>
            </w:tcMar>
          </w:tcPr>
          <w:p w14:paraId="066B81B8" w14:textId="77777777" w:rsidR="001E2960" w:rsidRPr="00845D81" w:rsidRDefault="001E2960" w:rsidP="001E2960">
            <w:pPr>
              <w:pStyle w:val="Odstavecseseznamem"/>
              <w:numPr>
                <w:ilvl w:val="0"/>
                <w:numId w:val="30"/>
              </w:numPr>
              <w:tabs>
                <w:tab w:val="left" w:pos="0"/>
              </w:tabs>
              <w:ind w:left="-29" w:hanging="22"/>
              <w:jc w:val="both"/>
              <w:rPr>
                <w:u w:val="single"/>
              </w:rPr>
            </w:pPr>
            <w:r w:rsidRPr="00845D81">
              <w:rPr>
                <w:u w:val="single"/>
              </w:rPr>
              <w:t xml:space="preserve">Ministerstvo posoudí žádost z hlediska předpokladů naplnění kvalifikačních kritérií stanovených nařízením Evropského parlamentu a Rady (EU) 2024/1735, k čemuž si může vyžádat  stanovisko Ministerstva životního prostředí k čl. 13 odst. 1 písm. a) bodu i) a písmene c) nařízení Evropského parlamentu a Rady (EU) 2024/1735,  Ministerstva práce a sociálních věcí k čl. 13 odst. 1 písm. a) bodu i)  nařízení Evropského parlamentu a Rady (EU) 2024/1735 a Ministerstva školství, mládeže a tělovýchovy k čl. 13 odst. 1 písm. a) bodu i) nařízení Evropského parlamentu a Rady (EU) 2024/1735. Ministerstvo životního prostředí, Ministerstvo práce a sociálních věcí a Ministerstvo školství, mládeže a tělovýchovy vydají své stanovisko do dvou týdnů od obdržení žádosti ministerstva. </w:t>
            </w:r>
          </w:p>
          <w:p w14:paraId="7D0F967C" w14:textId="56BC0729" w:rsidR="00187874" w:rsidRDefault="00187874" w:rsidP="00187874">
            <w:pPr>
              <w:tabs>
                <w:tab w:val="left" w:pos="0"/>
              </w:tabs>
              <w:jc w:val="both"/>
              <w:rPr>
                <w:color w:val="FF0000"/>
              </w:rPr>
            </w:pPr>
          </w:p>
        </w:tc>
        <w:tc>
          <w:tcPr>
            <w:tcW w:w="542" w:type="pct"/>
            <w:shd w:val="clear" w:color="auto" w:fill="auto"/>
            <w:tcMar>
              <w:top w:w="57" w:type="dxa"/>
              <w:bottom w:w="57" w:type="dxa"/>
            </w:tcMar>
          </w:tcPr>
          <w:p w14:paraId="5A0D206F" w14:textId="42B3315A"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44A2393C" w14:textId="0ACF9F66" w:rsidR="00187874" w:rsidRDefault="00187874" w:rsidP="00187874">
            <w:r>
              <w:t>Čl. 13 odst. 3</w:t>
            </w:r>
          </w:p>
        </w:tc>
        <w:tc>
          <w:tcPr>
            <w:tcW w:w="1753" w:type="pct"/>
            <w:shd w:val="clear" w:color="auto" w:fill="auto"/>
            <w:tcMar>
              <w:top w:w="57" w:type="dxa"/>
              <w:bottom w:w="57" w:type="dxa"/>
            </w:tcMar>
          </w:tcPr>
          <w:p w14:paraId="58218D4D" w14:textId="77777777" w:rsidR="00187874" w:rsidRDefault="00187874" w:rsidP="00187874">
            <w:pPr>
              <w:jc w:val="both"/>
            </w:pPr>
            <w:r>
              <w:t>3. Členské státy uznají za strategické projekty pro nulové čisté emise projekty ukládání CO2, které splňují všechna tato kritéria:</w:t>
            </w:r>
          </w:p>
          <w:p w14:paraId="1A36AB80" w14:textId="77777777" w:rsidR="00187874" w:rsidRDefault="00187874" w:rsidP="00187874">
            <w:pPr>
              <w:jc w:val="both"/>
            </w:pPr>
            <w:r>
              <w:t>a) úložiště CO2 se nachází na území Unie, v jejích výlučných ekonomických zónách nebo na jejím kontinentálním šelfu ve smyslu Úmluvy Organizace spojených národů o mořském právu (UNCLOS);</w:t>
            </w:r>
          </w:p>
          <w:p w14:paraId="3E5E0FE3" w14:textId="77777777" w:rsidR="00187874" w:rsidRDefault="00187874" w:rsidP="00187874">
            <w:pPr>
              <w:jc w:val="both"/>
            </w:pPr>
            <w:r>
              <w:t>b) projekt ukládání CO2 přispívá k dosažení cíle stanoveného v článku 20;</w:t>
            </w:r>
          </w:p>
          <w:p w14:paraId="1E7A96C1" w14:textId="39944EC2" w:rsidR="00187874" w:rsidRDefault="00187874" w:rsidP="00187874">
            <w:pPr>
              <w:jc w:val="both"/>
            </w:pPr>
            <w:r>
              <w:t>c) v rámci projektu ukládání CO2 bylo požádáno o povolení k bezpečnému a trvalému geologickému ukládání CO2 v souladu se směrnicí 2009/31/ES.</w:t>
            </w:r>
          </w:p>
        </w:tc>
      </w:tr>
      <w:tr w:rsidR="00187874" w:rsidRPr="005D452F" w14:paraId="41442D96" w14:textId="77777777" w:rsidTr="00A267C2">
        <w:tc>
          <w:tcPr>
            <w:tcW w:w="525" w:type="pct"/>
            <w:shd w:val="clear" w:color="auto" w:fill="auto"/>
            <w:tcMar>
              <w:top w:w="57" w:type="dxa"/>
              <w:bottom w:w="57" w:type="dxa"/>
            </w:tcMar>
          </w:tcPr>
          <w:p w14:paraId="7CC8F735" w14:textId="77777777" w:rsidR="00187874" w:rsidRDefault="008973A8" w:rsidP="00187874">
            <w:r>
              <w:t>§ 4 odst. 1</w:t>
            </w:r>
          </w:p>
          <w:p w14:paraId="2DF2A9CF" w14:textId="77777777" w:rsidR="001E2960" w:rsidRDefault="001E2960" w:rsidP="00187874"/>
          <w:p w14:paraId="4D41B25E" w14:textId="77777777" w:rsidR="001E2960" w:rsidRDefault="001E2960" w:rsidP="00187874"/>
          <w:p w14:paraId="6985BB50" w14:textId="77777777" w:rsidR="001E2960" w:rsidRDefault="001E2960" w:rsidP="00187874"/>
          <w:p w14:paraId="423DC495" w14:textId="77777777" w:rsidR="001E2960" w:rsidRDefault="001E2960" w:rsidP="00187874"/>
          <w:p w14:paraId="08AEEF33" w14:textId="77777777" w:rsidR="001E2960" w:rsidRDefault="001E2960" w:rsidP="00187874"/>
          <w:p w14:paraId="3F871473" w14:textId="77777777" w:rsidR="001E2960" w:rsidRDefault="001E2960" w:rsidP="00187874"/>
          <w:p w14:paraId="72171EAC" w14:textId="77777777" w:rsidR="001E2960" w:rsidRDefault="001E2960" w:rsidP="00187874"/>
          <w:p w14:paraId="3FC2BB22" w14:textId="77777777" w:rsidR="001E2960" w:rsidRDefault="001E2960" w:rsidP="00187874"/>
          <w:p w14:paraId="7572CFB5" w14:textId="77777777" w:rsidR="001E2960" w:rsidRDefault="001E2960" w:rsidP="00187874"/>
          <w:p w14:paraId="58CF0D51" w14:textId="77777777" w:rsidR="001E2960" w:rsidRDefault="001E2960" w:rsidP="00187874"/>
          <w:p w14:paraId="76ABD4CA" w14:textId="77777777" w:rsidR="001E2960" w:rsidRDefault="001E2960" w:rsidP="00187874"/>
          <w:p w14:paraId="194D7F6A" w14:textId="77777777" w:rsidR="001E2960" w:rsidRDefault="001E2960" w:rsidP="00187874"/>
          <w:p w14:paraId="08A78937" w14:textId="77777777" w:rsidR="001E2960" w:rsidRDefault="001E2960" w:rsidP="00187874"/>
          <w:p w14:paraId="3E386ECF" w14:textId="77777777" w:rsidR="001E2960" w:rsidRDefault="001E2960" w:rsidP="00187874"/>
          <w:p w14:paraId="11636068" w14:textId="77777777" w:rsidR="001E2960" w:rsidRDefault="001E2960" w:rsidP="00187874"/>
          <w:p w14:paraId="4A5C0EB2" w14:textId="77777777" w:rsidR="001E2960" w:rsidRDefault="001E2960" w:rsidP="00187874"/>
          <w:p w14:paraId="58DFD362" w14:textId="4E8F5CC4" w:rsidR="001E2960" w:rsidRPr="00FB58A3" w:rsidRDefault="001E2960" w:rsidP="00187874">
            <w:r>
              <w:t>§ 4 odst. 2</w:t>
            </w:r>
          </w:p>
        </w:tc>
        <w:tc>
          <w:tcPr>
            <w:tcW w:w="1693" w:type="pct"/>
            <w:shd w:val="clear" w:color="auto" w:fill="auto"/>
            <w:tcMar>
              <w:top w:w="57" w:type="dxa"/>
              <w:bottom w:w="57" w:type="dxa"/>
            </w:tcMar>
          </w:tcPr>
          <w:p w14:paraId="45F29D89" w14:textId="77777777" w:rsidR="00187874" w:rsidRDefault="001E2960" w:rsidP="00187874">
            <w:pPr>
              <w:tabs>
                <w:tab w:val="left" w:pos="0"/>
              </w:tabs>
              <w:jc w:val="both"/>
              <w:rPr>
                <w:color w:val="000000" w:themeColor="text1"/>
                <w:u w:val="single"/>
              </w:rPr>
            </w:pPr>
            <w:r w:rsidRPr="001E2960">
              <w:rPr>
                <w:color w:val="000000" w:themeColor="text1"/>
                <w:u w:val="single"/>
              </w:rPr>
              <w:lastRenderedPageBreak/>
              <w:t>(1)</w:t>
            </w:r>
            <w:r w:rsidRPr="001E2960">
              <w:rPr>
                <w:color w:val="000000" w:themeColor="text1"/>
                <w:u w:val="single"/>
              </w:rPr>
              <w:tab/>
              <w:t xml:space="preserve">Žádost o uznání projektu výroby technologií a komponent pro nulové čisté emise uvedené v seznamu v příloze k nařízení Evropského parlamentu a Rady (EU) 2024/1735, dekarbonizačního záměru v průmyslu a projektu stavby a zařízení, které mají sloužit k ukládání oxidu uhličitého do přírodních horninových struktur nebo k </w:t>
            </w:r>
            <w:r w:rsidRPr="001E2960">
              <w:rPr>
                <w:color w:val="000000" w:themeColor="text1"/>
                <w:u w:val="single"/>
              </w:rPr>
              <w:lastRenderedPageBreak/>
              <w:t>zachytávání oxidu uhličitého, a stavby přepravní sítě určené k přepravě oxidu uhličitého na úložiště oxidu uhličitého, (dále jen „projekt pro nulové čisté emise“) za strategický projekt pro nulové čisté emise se předkládá podle čl. 14 nařízení Evropského parlamentu a Rady (EU) 2024/1735 ministerstvu.</w:t>
            </w:r>
          </w:p>
          <w:p w14:paraId="0A30780D" w14:textId="77777777" w:rsidR="001E2960" w:rsidRDefault="001E2960" w:rsidP="00187874">
            <w:pPr>
              <w:tabs>
                <w:tab w:val="left" w:pos="0"/>
              </w:tabs>
              <w:jc w:val="both"/>
              <w:rPr>
                <w:color w:val="FF0000"/>
                <w:u w:val="single"/>
              </w:rPr>
            </w:pPr>
          </w:p>
          <w:p w14:paraId="1DBD2D25" w14:textId="1113841A" w:rsidR="001E2960" w:rsidRPr="008973A8" w:rsidRDefault="001E2960" w:rsidP="00187874">
            <w:pPr>
              <w:tabs>
                <w:tab w:val="left" w:pos="0"/>
              </w:tabs>
              <w:jc w:val="both"/>
              <w:rPr>
                <w:color w:val="FF0000"/>
                <w:u w:val="single"/>
              </w:rPr>
            </w:pPr>
            <w:r w:rsidRPr="001E2960">
              <w:rPr>
                <w:color w:val="000000" w:themeColor="text1"/>
                <w:u w:val="single"/>
              </w:rPr>
              <w:t>(2)</w:t>
            </w:r>
            <w:r w:rsidRPr="001E2960">
              <w:rPr>
                <w:color w:val="000000" w:themeColor="text1"/>
                <w:u w:val="single"/>
              </w:rPr>
              <w:tab/>
              <w:t>Žádost o uznání projektu pro nulové čisté emise za strategický projekt pro nulové čisté emise, (dále jen „žádost“) se podává na formuláři, jehož vzor stanoví ministerstvo vyhláškou, a s výjimkou případů stanovených v čl. 13 odst. 4 a 5 nařízení Evropského parlamentu a Rady (EU) 2024/1735 musí obsahovat náležitosti stanovené čl. 14 odst. 2 nebo 3 nařízení Evropského parlamentu a Rady (EU) 2024/1735. Pokládá-li ministerstvo žádost za úplnou, oznámí to žadateli. V případě, že žádost není úplná, vyzve ministerstvo předkladatele žádosti k doplnění pouze jednou.</w:t>
            </w:r>
          </w:p>
        </w:tc>
        <w:tc>
          <w:tcPr>
            <w:tcW w:w="542" w:type="pct"/>
            <w:shd w:val="clear" w:color="auto" w:fill="auto"/>
            <w:tcMar>
              <w:top w:w="57" w:type="dxa"/>
              <w:bottom w:w="57" w:type="dxa"/>
            </w:tcMar>
          </w:tcPr>
          <w:p w14:paraId="7D79B669" w14:textId="196D6A93"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4157CF68" w14:textId="4FBD5AA5" w:rsidR="00187874" w:rsidRDefault="00187874" w:rsidP="00187874">
            <w:r>
              <w:t>Čl. 13 odst. 4</w:t>
            </w:r>
          </w:p>
        </w:tc>
        <w:tc>
          <w:tcPr>
            <w:tcW w:w="1753" w:type="pct"/>
            <w:shd w:val="clear" w:color="auto" w:fill="auto"/>
            <w:tcMar>
              <w:top w:w="57" w:type="dxa"/>
              <w:bottom w:w="57" w:type="dxa"/>
            </w:tcMar>
          </w:tcPr>
          <w:p w14:paraId="60BCACF5" w14:textId="04AA273E" w:rsidR="00187874" w:rsidRDefault="00187874" w:rsidP="00187874">
            <w:pPr>
              <w:jc w:val="both"/>
            </w:pPr>
            <w:r w:rsidRPr="00C31ACA">
              <w:t xml:space="preserve">4. Projekty výroby technologií pro nulové čisté emise odpovídající technologii pro nulové čisté emise, které se nacházejí v „méně rozvinutých a přechodových regionech“ a na územích spadajících do působnosti Fondu pro spravedlivou transformaci a které jsou způsobilé k financování podle pravidel politiky soudržnosti, uznají členské státy po skončení </w:t>
            </w:r>
            <w:r w:rsidRPr="00C31ACA">
              <w:lastRenderedPageBreak/>
              <w:t>zadávacího řízení na písemnou žádost předkladatele projektu za strategické projekty pro nulové čisté emise podle čl. 14 odst. 3, aniž by předkladatel projektu musel podat formální žádost podle čl. 14 odst. 2.</w:t>
            </w:r>
          </w:p>
        </w:tc>
      </w:tr>
      <w:tr w:rsidR="00187874" w:rsidRPr="005D452F" w14:paraId="04F0CC8D" w14:textId="77777777" w:rsidTr="00A267C2">
        <w:tc>
          <w:tcPr>
            <w:tcW w:w="525" w:type="pct"/>
            <w:shd w:val="clear" w:color="auto" w:fill="auto"/>
            <w:tcMar>
              <w:top w:w="57" w:type="dxa"/>
              <w:bottom w:w="57" w:type="dxa"/>
            </w:tcMar>
          </w:tcPr>
          <w:p w14:paraId="08B10BC4" w14:textId="77777777" w:rsidR="00187874" w:rsidRDefault="008973A8" w:rsidP="00187874">
            <w:r>
              <w:lastRenderedPageBreak/>
              <w:t>§ 4 odst. 1</w:t>
            </w:r>
          </w:p>
          <w:p w14:paraId="73702692" w14:textId="77777777" w:rsidR="001E2960" w:rsidRDefault="001E2960" w:rsidP="00187874"/>
          <w:p w14:paraId="6E4663A1" w14:textId="77777777" w:rsidR="001E2960" w:rsidRDefault="001E2960" w:rsidP="00187874"/>
          <w:p w14:paraId="60E1B3F3" w14:textId="77777777" w:rsidR="001E2960" w:rsidRDefault="001E2960" w:rsidP="00187874"/>
          <w:p w14:paraId="0D9C165B" w14:textId="77777777" w:rsidR="001E2960" w:rsidRDefault="001E2960" w:rsidP="00187874"/>
          <w:p w14:paraId="327E3ABA" w14:textId="77777777" w:rsidR="001E2960" w:rsidRDefault="001E2960" w:rsidP="00187874"/>
          <w:p w14:paraId="1EC17E89" w14:textId="77777777" w:rsidR="001E2960" w:rsidRDefault="001E2960" w:rsidP="00187874"/>
          <w:p w14:paraId="6AEA50DF" w14:textId="77777777" w:rsidR="001E2960" w:rsidRDefault="001E2960" w:rsidP="00187874"/>
          <w:p w14:paraId="7950A16A" w14:textId="77777777" w:rsidR="001E2960" w:rsidRDefault="001E2960" w:rsidP="00187874"/>
          <w:p w14:paraId="20BD2490" w14:textId="77777777" w:rsidR="001E2960" w:rsidRDefault="001E2960" w:rsidP="00187874"/>
          <w:p w14:paraId="452F18A9" w14:textId="77777777" w:rsidR="001E2960" w:rsidRDefault="001E2960" w:rsidP="00187874"/>
          <w:p w14:paraId="22F4CDB8" w14:textId="77777777" w:rsidR="001E2960" w:rsidRDefault="001E2960" w:rsidP="00187874"/>
          <w:p w14:paraId="160B032D" w14:textId="77777777" w:rsidR="001E2960" w:rsidRDefault="001E2960" w:rsidP="00187874"/>
          <w:p w14:paraId="02B922FD" w14:textId="77777777" w:rsidR="001E2960" w:rsidRDefault="001E2960" w:rsidP="00187874"/>
          <w:p w14:paraId="30C6712E" w14:textId="77777777" w:rsidR="001E2960" w:rsidRDefault="001E2960" w:rsidP="00187874"/>
          <w:p w14:paraId="7C3C2C33" w14:textId="77777777" w:rsidR="001E2960" w:rsidRDefault="001E2960" w:rsidP="00187874"/>
          <w:p w14:paraId="4F3C265A" w14:textId="77777777" w:rsidR="001E2960" w:rsidRDefault="001E2960" w:rsidP="00187874"/>
          <w:p w14:paraId="74EB59FF" w14:textId="42FF5666" w:rsidR="001E2960" w:rsidRPr="00FB58A3" w:rsidRDefault="001E2960" w:rsidP="00187874">
            <w:r>
              <w:t>§ 4 odst. 2</w:t>
            </w:r>
          </w:p>
        </w:tc>
        <w:tc>
          <w:tcPr>
            <w:tcW w:w="1693" w:type="pct"/>
            <w:shd w:val="clear" w:color="auto" w:fill="auto"/>
            <w:tcMar>
              <w:top w:w="57" w:type="dxa"/>
              <w:bottom w:w="57" w:type="dxa"/>
            </w:tcMar>
          </w:tcPr>
          <w:p w14:paraId="1619954C" w14:textId="77777777" w:rsidR="001E2960" w:rsidRPr="001E2960" w:rsidRDefault="001E2960" w:rsidP="001E2960">
            <w:pPr>
              <w:tabs>
                <w:tab w:val="left" w:pos="0"/>
              </w:tabs>
              <w:jc w:val="both"/>
              <w:rPr>
                <w:color w:val="000000" w:themeColor="text1"/>
                <w:u w:val="single"/>
              </w:rPr>
            </w:pPr>
            <w:r w:rsidRPr="001E2960">
              <w:rPr>
                <w:color w:val="000000" w:themeColor="text1"/>
                <w:u w:val="single"/>
              </w:rPr>
              <w:lastRenderedPageBreak/>
              <w:t>(1)</w:t>
            </w:r>
            <w:r w:rsidRPr="001E2960">
              <w:rPr>
                <w:color w:val="000000" w:themeColor="text1"/>
                <w:u w:val="single"/>
              </w:rPr>
              <w:tab/>
              <w:t xml:space="preserve">Žádost o uznání projektu výroby technologií a komponent pro nulové čisté emise uvedené v seznamu v příloze k nařízení Evropského parlamentu a Rady (EU) 2024/1735, dekarbonizačního záměru v průmyslu a projektu stavby a zařízení, které mají sloužit k ukládání oxidu uhličitého do přírodních horninových struktur nebo k </w:t>
            </w:r>
            <w:r w:rsidRPr="001E2960">
              <w:rPr>
                <w:color w:val="000000" w:themeColor="text1"/>
                <w:u w:val="single"/>
              </w:rPr>
              <w:lastRenderedPageBreak/>
              <w:t>zachytávání oxidu uhličitého, a stavby přepravní sítě určené k přepravě oxidu uhličitého na úložiště oxidu uhličitého, (dále jen „projekt pro nulové čisté emise“) za strategický projekt pro nulové čisté emise se předkládá podle čl. 14 nařízení Evropského parlamentu a Rady (EU) 2024/1735 ministerstvu.</w:t>
            </w:r>
          </w:p>
          <w:p w14:paraId="6E81316A" w14:textId="77777777" w:rsidR="001E2960" w:rsidRPr="001E2960" w:rsidRDefault="001E2960" w:rsidP="001E2960">
            <w:pPr>
              <w:tabs>
                <w:tab w:val="left" w:pos="0"/>
              </w:tabs>
              <w:jc w:val="both"/>
              <w:rPr>
                <w:color w:val="000000" w:themeColor="text1"/>
                <w:u w:val="single"/>
              </w:rPr>
            </w:pPr>
          </w:p>
          <w:p w14:paraId="03E88D7E" w14:textId="6D51A12C" w:rsidR="00187874" w:rsidRPr="008973A8" w:rsidRDefault="001E2960" w:rsidP="001E2960">
            <w:pPr>
              <w:tabs>
                <w:tab w:val="left" w:pos="0"/>
              </w:tabs>
              <w:jc w:val="both"/>
              <w:rPr>
                <w:color w:val="000000" w:themeColor="text1"/>
              </w:rPr>
            </w:pPr>
            <w:r w:rsidRPr="001E2960">
              <w:rPr>
                <w:color w:val="000000" w:themeColor="text1"/>
                <w:u w:val="single"/>
              </w:rPr>
              <w:t>(2)</w:t>
            </w:r>
            <w:r w:rsidRPr="001E2960">
              <w:rPr>
                <w:color w:val="000000" w:themeColor="text1"/>
                <w:u w:val="single"/>
              </w:rPr>
              <w:tab/>
              <w:t>Žádost o uznání projektu pro nulové čisté emise za strategický projekt pro nulové čisté emise, (dále jen „žádost“) se podává na formuláři, jehož vzor stanoví ministerstvo vyhláškou, a s výjimkou případů stanovených v čl. 13 odst. 4 a 5 nařízení Evropského parlamentu a Rady (EU) 2024/1735 musí obsahovat náležitosti stanovené čl. 14 odst. 2 nebo 3 nařízení Evropského parlamentu a Rady (EU) 2024/1735. Pokládá-li ministerstvo žádost za úplnou, oznámí to žadateli. V případě, že žádost není úplná, vyzve ministerstvo předkladatele žádosti k doplnění pouze jednou.</w:t>
            </w:r>
          </w:p>
        </w:tc>
        <w:tc>
          <w:tcPr>
            <w:tcW w:w="542" w:type="pct"/>
            <w:shd w:val="clear" w:color="auto" w:fill="auto"/>
            <w:tcMar>
              <w:top w:w="57" w:type="dxa"/>
              <w:bottom w:w="57" w:type="dxa"/>
            </w:tcMar>
          </w:tcPr>
          <w:p w14:paraId="0B88C603" w14:textId="081979FE"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19210D26" w14:textId="4740D0DA" w:rsidR="00187874" w:rsidRDefault="00187874" w:rsidP="00187874">
            <w:r>
              <w:t>Čl. 13 odst. 5</w:t>
            </w:r>
          </w:p>
        </w:tc>
        <w:tc>
          <w:tcPr>
            <w:tcW w:w="1753" w:type="pct"/>
            <w:shd w:val="clear" w:color="auto" w:fill="auto"/>
            <w:tcMar>
              <w:top w:w="57" w:type="dxa"/>
              <w:bottom w:w="57" w:type="dxa"/>
            </w:tcMar>
          </w:tcPr>
          <w:p w14:paraId="24023D27" w14:textId="25E537CF" w:rsidR="00187874" w:rsidRPr="00C31ACA" w:rsidRDefault="00187874" w:rsidP="00187874">
            <w:pPr>
              <w:jc w:val="both"/>
            </w:pPr>
            <w:r w:rsidRPr="00C31ACA">
              <w:t xml:space="preserve">5. Projekt výroby technologií pro nulové čisté emise nacházející se v Unii, který přispívá k dosažení cílů stanovených v čl. 1 odst. 1 a který využívá Inovačního fondu v rámci systému ETS, nebo je součástí významných projektů společného evropského zájmu, evropských vodíkových údolí nebo vodíkové banky, pokud fondy podporují investice do výrobních kapacit , </w:t>
            </w:r>
            <w:r w:rsidRPr="00C31ACA">
              <w:lastRenderedPageBreak/>
              <w:t>je členskými státy na písemnou žádost předkladatele projektu uznán za strategický projekt pro nulové čisté emise podle čl. 14 odst. 3, aniž by předkladatel projektu musel podat formální žádost podle čl. 14 odst. 2.</w:t>
            </w:r>
          </w:p>
        </w:tc>
      </w:tr>
      <w:tr w:rsidR="00187874" w:rsidRPr="005D452F" w14:paraId="554BB9F2" w14:textId="77777777" w:rsidTr="00A267C2">
        <w:tc>
          <w:tcPr>
            <w:tcW w:w="525" w:type="pct"/>
            <w:shd w:val="clear" w:color="auto" w:fill="auto"/>
            <w:tcMar>
              <w:top w:w="57" w:type="dxa"/>
              <w:bottom w:w="57" w:type="dxa"/>
            </w:tcMar>
          </w:tcPr>
          <w:p w14:paraId="5E583C4C" w14:textId="4841354A" w:rsidR="00187874" w:rsidRPr="00FB58A3" w:rsidRDefault="008973A8" w:rsidP="00187874">
            <w:r>
              <w:lastRenderedPageBreak/>
              <w:t xml:space="preserve">§ 4 odst. </w:t>
            </w:r>
            <w:r w:rsidR="001E2960">
              <w:t>4</w:t>
            </w:r>
          </w:p>
        </w:tc>
        <w:tc>
          <w:tcPr>
            <w:tcW w:w="1693" w:type="pct"/>
            <w:shd w:val="clear" w:color="auto" w:fill="auto"/>
            <w:tcMar>
              <w:top w:w="57" w:type="dxa"/>
              <w:bottom w:w="57" w:type="dxa"/>
            </w:tcMar>
          </w:tcPr>
          <w:p w14:paraId="18A33907" w14:textId="2CEE765E" w:rsidR="001E2960" w:rsidRPr="001E2960" w:rsidRDefault="001E2960" w:rsidP="001E2960">
            <w:pPr>
              <w:pStyle w:val="Odstavecseseznamem"/>
              <w:numPr>
                <w:ilvl w:val="0"/>
                <w:numId w:val="30"/>
              </w:numPr>
              <w:tabs>
                <w:tab w:val="left" w:pos="0"/>
              </w:tabs>
              <w:ind w:left="-29" w:hanging="22"/>
              <w:jc w:val="both"/>
              <w:rPr>
                <w:color w:val="000000" w:themeColor="text1"/>
                <w:u w:val="single"/>
              </w:rPr>
            </w:pPr>
            <w:r w:rsidRPr="001E2960">
              <w:rPr>
                <w:color w:val="000000" w:themeColor="text1"/>
                <w:u w:val="single"/>
              </w:rPr>
              <w:t xml:space="preserve">Ode dne potvrzení úplnosti žádosti, počíná běžet lhůta 1 měsíce pro rozhodnutí ministerstva o žádosti. Ve zvlášť složitých případech lze lhůtu podle věty první prodloužit o 1 měsíc. Ministerstvo uzná projekt pro nulové čisté emise za strategický, jestliže jsou splněny podmínky podle čl. 13 nařízení Evropského parlamentu a Rady (EU) 2024/1735. </w:t>
            </w:r>
            <w:r w:rsidRPr="001E2960">
              <w:rPr>
                <w:color w:val="000000" w:themeColor="text1"/>
                <w:u w:val="single"/>
              </w:rPr>
              <w:lastRenderedPageBreak/>
              <w:t>Rozhodnutí o uznání projektu pro nulové čisté emise za strategický projekt pro nulové čisté emise musí obsahovat</w:t>
            </w:r>
          </w:p>
          <w:p w14:paraId="48CF88E0"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název projektu,</w:t>
            </w:r>
          </w:p>
          <w:p w14:paraId="5CC2D037"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typ projektu,</w:t>
            </w:r>
          </w:p>
          <w:p w14:paraId="38BABBD3"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použité výrobní technologické zaměření projektu dle čl. 4 odst. 1 nařízení Evropského parlamentu a Rady (EU) 2024/1735,</w:t>
            </w:r>
          </w:p>
          <w:p w14:paraId="6EC4726E"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 xml:space="preserve">místo realizace projektu, </w:t>
            </w:r>
          </w:p>
          <w:p w14:paraId="0166CB91"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poučení, že rozhodnutí může ministerstvo zrušit, budou-li splněny podmínky podle čl. 14 odst. 7 nařízení Evropského parlamentu a Rady (EU) 2024/1735,</w:t>
            </w:r>
          </w:p>
          <w:p w14:paraId="5F9C38D7" w14:textId="77777777" w:rsidR="001E2960" w:rsidRPr="001E2960" w:rsidRDefault="001E2960" w:rsidP="001E2960">
            <w:pPr>
              <w:numPr>
                <w:ilvl w:val="0"/>
                <w:numId w:val="31"/>
              </w:numPr>
              <w:tabs>
                <w:tab w:val="left" w:pos="0"/>
              </w:tabs>
              <w:ind w:left="396" w:hanging="396"/>
              <w:jc w:val="both"/>
              <w:rPr>
                <w:color w:val="000000" w:themeColor="text1"/>
                <w:u w:val="single"/>
              </w:rPr>
            </w:pPr>
            <w:r w:rsidRPr="001E2960">
              <w:rPr>
                <w:color w:val="000000" w:themeColor="text1"/>
                <w:u w:val="single"/>
              </w:rPr>
              <w:t xml:space="preserve">u zahraniční osoby dále údaje týkající se odpovědného zástupce, byl-li ustanoven. </w:t>
            </w:r>
          </w:p>
          <w:p w14:paraId="7A0E2458" w14:textId="45A9A81D" w:rsidR="00187874" w:rsidRDefault="00187874" w:rsidP="008973A8">
            <w:pPr>
              <w:tabs>
                <w:tab w:val="left" w:pos="0"/>
              </w:tabs>
              <w:jc w:val="both"/>
              <w:rPr>
                <w:color w:val="FF0000"/>
              </w:rPr>
            </w:pPr>
          </w:p>
        </w:tc>
        <w:tc>
          <w:tcPr>
            <w:tcW w:w="542" w:type="pct"/>
            <w:shd w:val="clear" w:color="auto" w:fill="auto"/>
            <w:tcMar>
              <w:top w:w="57" w:type="dxa"/>
              <w:bottom w:w="57" w:type="dxa"/>
            </w:tcMar>
          </w:tcPr>
          <w:p w14:paraId="0B954406" w14:textId="11EA2310"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785F5DFD" w14:textId="78671AF7" w:rsidR="00187874" w:rsidRDefault="00187874" w:rsidP="00187874">
            <w:r>
              <w:t>Čl. 13 odst. 6</w:t>
            </w:r>
          </w:p>
        </w:tc>
        <w:tc>
          <w:tcPr>
            <w:tcW w:w="1753" w:type="pct"/>
            <w:shd w:val="clear" w:color="auto" w:fill="auto"/>
            <w:tcMar>
              <w:top w:w="57" w:type="dxa"/>
              <w:bottom w:w="57" w:type="dxa"/>
            </w:tcMar>
          </w:tcPr>
          <w:p w14:paraId="7DA59B82" w14:textId="2414D675" w:rsidR="00187874" w:rsidRPr="00C31ACA" w:rsidRDefault="00187874" w:rsidP="00187874">
            <w:pPr>
              <w:jc w:val="both"/>
            </w:pPr>
            <w:r w:rsidRPr="00C31ACA">
              <w:t xml:space="preserve">6. Pokud strategický projekt pro nulové čisté emise přispívá k hodnotovému řetězci technologie, kterou členský stát neakceptuje jako součást základní skladby svého zásobování energií, může ho daný členský stát odmítnout uznat za strategický projekt. Existují-li technologie pro nulové čisté emise, u nichž členský stát nehodlá uznat projekty za projekty </w:t>
            </w:r>
            <w:r w:rsidRPr="00C31ACA">
              <w:lastRenderedPageBreak/>
              <w:t>strategické, tento členský stát to co nejdříve oznámí, a to i veřejně.</w:t>
            </w:r>
          </w:p>
        </w:tc>
      </w:tr>
      <w:tr w:rsidR="00187874" w:rsidRPr="005D452F" w14:paraId="257CD4D0" w14:textId="77777777" w:rsidTr="00A267C2">
        <w:tc>
          <w:tcPr>
            <w:tcW w:w="525" w:type="pct"/>
            <w:shd w:val="clear" w:color="auto" w:fill="auto"/>
            <w:tcMar>
              <w:top w:w="57" w:type="dxa"/>
              <w:bottom w:w="57" w:type="dxa"/>
            </w:tcMar>
          </w:tcPr>
          <w:p w14:paraId="0E87B873" w14:textId="77777777" w:rsidR="00187874" w:rsidRDefault="008973A8" w:rsidP="00187874">
            <w:r>
              <w:lastRenderedPageBreak/>
              <w:t>§ 4 odst. 1</w:t>
            </w:r>
          </w:p>
          <w:p w14:paraId="4AAF7096" w14:textId="77777777" w:rsidR="00716CBC" w:rsidRDefault="00716CBC" w:rsidP="00187874"/>
          <w:p w14:paraId="6E716713" w14:textId="77777777" w:rsidR="00716CBC" w:rsidRDefault="00716CBC" w:rsidP="00187874"/>
          <w:p w14:paraId="11AAC251" w14:textId="77777777" w:rsidR="00716CBC" w:rsidRDefault="00716CBC" w:rsidP="00187874"/>
          <w:p w14:paraId="527911C0" w14:textId="77777777" w:rsidR="00716CBC" w:rsidRDefault="00716CBC" w:rsidP="00187874"/>
          <w:p w14:paraId="7B4ECDCE" w14:textId="77777777" w:rsidR="00716CBC" w:rsidRDefault="00716CBC" w:rsidP="00187874"/>
          <w:p w14:paraId="6D3975FF" w14:textId="77777777" w:rsidR="00716CBC" w:rsidRDefault="00716CBC" w:rsidP="00187874"/>
          <w:p w14:paraId="0DF93410" w14:textId="77777777" w:rsidR="00716CBC" w:rsidRDefault="00716CBC" w:rsidP="00187874"/>
          <w:p w14:paraId="6CE1F6DB" w14:textId="77777777" w:rsidR="00716CBC" w:rsidRDefault="00716CBC" w:rsidP="00187874"/>
          <w:p w14:paraId="1E5F25BC" w14:textId="77777777" w:rsidR="00716CBC" w:rsidRDefault="00716CBC" w:rsidP="00187874"/>
          <w:p w14:paraId="3E6A1359" w14:textId="77777777" w:rsidR="00716CBC" w:rsidRDefault="00716CBC" w:rsidP="00187874"/>
          <w:p w14:paraId="561218A1" w14:textId="77777777" w:rsidR="00716CBC" w:rsidRDefault="00716CBC" w:rsidP="00187874"/>
          <w:p w14:paraId="4C8E3251" w14:textId="77777777" w:rsidR="00716CBC" w:rsidRDefault="00716CBC" w:rsidP="00187874"/>
          <w:p w14:paraId="0DD5070B" w14:textId="77777777" w:rsidR="00716CBC" w:rsidRDefault="00716CBC" w:rsidP="00187874"/>
          <w:p w14:paraId="6A6379DD" w14:textId="77777777" w:rsidR="00716CBC" w:rsidRDefault="00716CBC" w:rsidP="00187874"/>
          <w:p w14:paraId="0DCA0D60" w14:textId="77777777" w:rsidR="00716CBC" w:rsidRDefault="00716CBC" w:rsidP="00187874"/>
          <w:p w14:paraId="2EC27B38" w14:textId="75FDD248" w:rsidR="00716CBC" w:rsidRDefault="00716CBC" w:rsidP="00187874"/>
          <w:p w14:paraId="2579042D" w14:textId="7170951F" w:rsidR="00716CBC" w:rsidRDefault="00716CBC" w:rsidP="00187874">
            <w:r>
              <w:t>§ 4 odst. 2</w:t>
            </w:r>
          </w:p>
          <w:p w14:paraId="1E4F1272" w14:textId="1B6FE575" w:rsidR="00716CBC" w:rsidRPr="00FB58A3" w:rsidRDefault="00716CBC" w:rsidP="00187874"/>
        </w:tc>
        <w:tc>
          <w:tcPr>
            <w:tcW w:w="1693" w:type="pct"/>
            <w:shd w:val="clear" w:color="auto" w:fill="auto"/>
            <w:tcMar>
              <w:top w:w="57" w:type="dxa"/>
              <w:bottom w:w="57" w:type="dxa"/>
            </w:tcMar>
          </w:tcPr>
          <w:p w14:paraId="3518F3E3" w14:textId="77777777" w:rsidR="00716CBC" w:rsidRPr="00716CBC" w:rsidRDefault="00716CBC" w:rsidP="00716CBC">
            <w:pPr>
              <w:tabs>
                <w:tab w:val="left" w:pos="0"/>
              </w:tabs>
              <w:jc w:val="both"/>
              <w:rPr>
                <w:color w:val="000000" w:themeColor="text1"/>
                <w:u w:val="single"/>
              </w:rPr>
            </w:pPr>
            <w:r w:rsidRPr="00716CBC">
              <w:rPr>
                <w:color w:val="000000" w:themeColor="text1"/>
                <w:u w:val="single"/>
              </w:rPr>
              <w:lastRenderedPageBreak/>
              <w:t>(1)</w:t>
            </w:r>
            <w:r w:rsidRPr="00716CBC">
              <w:rPr>
                <w:color w:val="000000" w:themeColor="text1"/>
                <w:u w:val="single"/>
              </w:rPr>
              <w:tab/>
              <w:t xml:space="preserve">Žádost o uznání projektu výroby technologií a komponent pro nulové čisté emise uvedené v seznamu v příloze k nařízení Evropského parlamentu a Rady (EU) 2024/1735, dekarbonizačního záměru v průmyslu a projektu stavby a zařízení, které mají sloužit k ukládání oxidu uhličitého do přírodních horninových struktur nebo k zachytávání oxidu uhličitého, a stavby přepravní sítě určené k přepravě oxidu uhličitého na úložiště oxidu uhličitého, (dále jen „projekt pro nulové čisté emise“) za strategický projekt pro nulové čisté emise se předkládá podle čl. 14 nařízení Evropského </w:t>
            </w:r>
            <w:r w:rsidRPr="00716CBC">
              <w:rPr>
                <w:color w:val="000000" w:themeColor="text1"/>
                <w:u w:val="single"/>
              </w:rPr>
              <w:lastRenderedPageBreak/>
              <w:t>parlamentu a Rady (EU) 2024/1735 ministerstvu.</w:t>
            </w:r>
          </w:p>
          <w:p w14:paraId="6F4D2790" w14:textId="77777777" w:rsidR="00187874" w:rsidRDefault="00187874" w:rsidP="008973A8">
            <w:pPr>
              <w:tabs>
                <w:tab w:val="left" w:pos="0"/>
              </w:tabs>
              <w:jc w:val="both"/>
            </w:pPr>
          </w:p>
          <w:p w14:paraId="5A836EB0" w14:textId="21C709D6" w:rsidR="00716CBC" w:rsidRPr="00B3357D" w:rsidRDefault="00716CBC" w:rsidP="008973A8">
            <w:pPr>
              <w:tabs>
                <w:tab w:val="left" w:pos="0"/>
              </w:tabs>
              <w:jc w:val="both"/>
            </w:pPr>
            <w:r w:rsidRPr="00716CBC">
              <w:rPr>
                <w:u w:val="single"/>
              </w:rPr>
              <w:t>(2)</w:t>
            </w:r>
            <w:r w:rsidRPr="00716CBC">
              <w:rPr>
                <w:u w:val="single"/>
              </w:rPr>
              <w:tab/>
              <w:t>Žádost o uznání projektu pro nulové čisté emise za strategický projekt pro nulové čisté emise, (dále jen „žádost“) se podává na formuláři, jehož vzor stanoví ministerstvo vyhláškou, a s výjimkou případů stanovených v čl. 13 odst. 4 a 5 nařízení Evropského parlamentu a Rady (EU) 2024/1735 musí obsahovat náležitosti stanovené čl. 14 odst. 2 nebo 3 nařízení Evropského parlamentu a Rady (EU) 2024/1735. Pokládá-li ministerstvo žádost za úplnou, oznámí to žadateli. V případě, že žádost není úplná, vyzve ministerstvo předkladatele žádosti k doplnění pouze jednou.</w:t>
            </w:r>
          </w:p>
        </w:tc>
        <w:tc>
          <w:tcPr>
            <w:tcW w:w="542" w:type="pct"/>
            <w:shd w:val="clear" w:color="auto" w:fill="auto"/>
            <w:tcMar>
              <w:top w:w="57" w:type="dxa"/>
              <w:bottom w:w="57" w:type="dxa"/>
            </w:tcMar>
          </w:tcPr>
          <w:p w14:paraId="7F3A3684" w14:textId="46B1070C" w:rsidR="00187874" w:rsidRPr="00B3357D" w:rsidRDefault="00187874" w:rsidP="00187874">
            <w:r w:rsidRPr="00163132">
              <w:rPr>
                <w:color w:val="333333"/>
                <w:shd w:val="clear" w:color="auto" w:fill="FFFFFF"/>
              </w:rPr>
              <w:lastRenderedPageBreak/>
              <w:t>32024R1735</w:t>
            </w:r>
          </w:p>
        </w:tc>
        <w:tc>
          <w:tcPr>
            <w:tcW w:w="487" w:type="pct"/>
            <w:shd w:val="clear" w:color="auto" w:fill="auto"/>
            <w:tcMar>
              <w:top w:w="57" w:type="dxa"/>
              <w:bottom w:w="57" w:type="dxa"/>
            </w:tcMar>
          </w:tcPr>
          <w:p w14:paraId="774A6B53" w14:textId="1C1258E0" w:rsidR="00187874" w:rsidRPr="00B3357D" w:rsidRDefault="00187874" w:rsidP="00187874">
            <w:r>
              <w:t>Čl. 14 odst. 1</w:t>
            </w:r>
          </w:p>
        </w:tc>
        <w:tc>
          <w:tcPr>
            <w:tcW w:w="1753" w:type="pct"/>
            <w:shd w:val="clear" w:color="auto" w:fill="auto"/>
            <w:tcMar>
              <w:top w:w="57" w:type="dxa"/>
              <w:bottom w:w="57" w:type="dxa"/>
            </w:tcMar>
          </w:tcPr>
          <w:p w14:paraId="7D043547" w14:textId="0EBAE7C0" w:rsidR="00187874" w:rsidRPr="006906D1" w:rsidRDefault="00187874" w:rsidP="00187874">
            <w:pPr>
              <w:jc w:val="both"/>
            </w:pPr>
            <w:r w:rsidRPr="006906D1">
              <w:t>1. Žádosti o uznání projektů výroby technologií pro nulové čisté emise za strategické projekty pro nulové čisté emise předkládá předkladatel projektu příslušnému členskému státu.</w:t>
            </w:r>
          </w:p>
        </w:tc>
      </w:tr>
      <w:tr w:rsidR="00187874" w:rsidRPr="005D452F" w14:paraId="7712BBC4" w14:textId="77777777" w:rsidTr="00A267C2">
        <w:tc>
          <w:tcPr>
            <w:tcW w:w="525" w:type="pct"/>
            <w:shd w:val="clear" w:color="auto" w:fill="auto"/>
            <w:tcMar>
              <w:top w:w="57" w:type="dxa"/>
              <w:bottom w:w="57" w:type="dxa"/>
            </w:tcMar>
          </w:tcPr>
          <w:p w14:paraId="1F4E825F" w14:textId="5791827E" w:rsidR="00187874" w:rsidRPr="00FB58A3" w:rsidRDefault="00A038EF" w:rsidP="00187874">
            <w:r>
              <w:lastRenderedPageBreak/>
              <w:t xml:space="preserve">§ 4 odst. </w:t>
            </w:r>
            <w:r w:rsidR="00BA7512">
              <w:t>4</w:t>
            </w:r>
          </w:p>
        </w:tc>
        <w:tc>
          <w:tcPr>
            <w:tcW w:w="1693" w:type="pct"/>
            <w:shd w:val="clear" w:color="auto" w:fill="auto"/>
            <w:tcMar>
              <w:top w:w="57" w:type="dxa"/>
              <w:bottom w:w="57" w:type="dxa"/>
            </w:tcMar>
          </w:tcPr>
          <w:p w14:paraId="4C385DFE" w14:textId="1ED817F0" w:rsidR="00BA7512" w:rsidRPr="00BA7512" w:rsidRDefault="00BA7512" w:rsidP="00BA7512">
            <w:pPr>
              <w:pStyle w:val="Odstavecseseznamem"/>
              <w:numPr>
                <w:ilvl w:val="0"/>
                <w:numId w:val="29"/>
              </w:numPr>
              <w:tabs>
                <w:tab w:val="left" w:pos="0"/>
              </w:tabs>
              <w:ind w:left="-29" w:hanging="22"/>
              <w:jc w:val="both"/>
              <w:rPr>
                <w:color w:val="000000" w:themeColor="text1"/>
                <w:u w:val="single"/>
              </w:rPr>
            </w:pPr>
            <w:r w:rsidRPr="00BA7512">
              <w:rPr>
                <w:color w:val="000000" w:themeColor="text1"/>
                <w:u w:val="single"/>
              </w:rPr>
              <w:t>Ode dne potvrzení úplnosti žádosti, počíná běžet lhůta 1 měsíce pro rozhodnutí ministerstva o žádosti. Ve zvlášť složitých případech lze lhůtu podle věty první prodloužit o 1 měsíc. Ministerstvo uzná projekt pro nulové čisté emise za strategický, jestliže jsou splněny podmínky podle čl. 13 nařízení Evropského parlamentu a Rady (EU) 2024/1735. Rozhodnutí o uznání projektu pro nulové čisté emise za strategický projekt pro nulové čisté emise musí obsahovat</w:t>
            </w:r>
          </w:p>
          <w:p w14:paraId="297AA8B3"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t>název projektu,</w:t>
            </w:r>
          </w:p>
          <w:p w14:paraId="61A6A32E"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t>typ projektu,</w:t>
            </w:r>
          </w:p>
          <w:p w14:paraId="50CF18D7"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lastRenderedPageBreak/>
              <w:t>použité výrobní technologické zaměření projektu dle čl. 4 odst. 1 nařízení Evropského parlamentu a Rady (EU) 2024/1735,</w:t>
            </w:r>
          </w:p>
          <w:p w14:paraId="33F8D6FC"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t xml:space="preserve">místo realizace projektu, </w:t>
            </w:r>
          </w:p>
          <w:p w14:paraId="6C5C4415"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t>poučení, že rozhodnutí může ministerstvo zrušit, budou-li splněny podmínky podle čl. 14 odst. 7 nařízení Evropského parlamentu a Rady (EU) 2024/1735,</w:t>
            </w:r>
          </w:p>
          <w:p w14:paraId="2AACBEDC" w14:textId="77777777" w:rsidR="00BA7512" w:rsidRPr="001E2960" w:rsidRDefault="00BA7512" w:rsidP="00BA7512">
            <w:pPr>
              <w:numPr>
                <w:ilvl w:val="0"/>
                <w:numId w:val="31"/>
              </w:numPr>
              <w:tabs>
                <w:tab w:val="left" w:pos="0"/>
              </w:tabs>
              <w:ind w:left="396" w:hanging="396"/>
              <w:jc w:val="both"/>
              <w:rPr>
                <w:color w:val="000000" w:themeColor="text1"/>
                <w:u w:val="single"/>
              </w:rPr>
            </w:pPr>
            <w:r w:rsidRPr="001E2960">
              <w:rPr>
                <w:color w:val="000000" w:themeColor="text1"/>
                <w:u w:val="single"/>
              </w:rPr>
              <w:t xml:space="preserve">u zahraniční osoby dále údaje týkající se odpovědného zástupce, byl-li ustanoven. </w:t>
            </w:r>
          </w:p>
          <w:p w14:paraId="21EC3498" w14:textId="4C17E852" w:rsidR="00187874" w:rsidRPr="00B3357D" w:rsidRDefault="00187874" w:rsidP="00A038EF">
            <w:pPr>
              <w:tabs>
                <w:tab w:val="left" w:pos="0"/>
              </w:tabs>
              <w:jc w:val="both"/>
            </w:pPr>
          </w:p>
        </w:tc>
        <w:tc>
          <w:tcPr>
            <w:tcW w:w="542" w:type="pct"/>
            <w:shd w:val="clear" w:color="auto" w:fill="auto"/>
            <w:tcMar>
              <w:top w:w="57" w:type="dxa"/>
              <w:bottom w:w="57" w:type="dxa"/>
            </w:tcMar>
          </w:tcPr>
          <w:p w14:paraId="7DAA5E47" w14:textId="60E2985C"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BEFD50D" w14:textId="5738F7C9" w:rsidR="00187874" w:rsidRDefault="00187874" w:rsidP="00187874">
            <w:r>
              <w:t>Čl. 14 odst. 3</w:t>
            </w:r>
          </w:p>
        </w:tc>
        <w:tc>
          <w:tcPr>
            <w:tcW w:w="1753" w:type="pct"/>
            <w:shd w:val="clear" w:color="auto" w:fill="auto"/>
            <w:tcMar>
              <w:top w:w="57" w:type="dxa"/>
              <w:bottom w:w="57" w:type="dxa"/>
            </w:tcMar>
          </w:tcPr>
          <w:p w14:paraId="0ACD0A59" w14:textId="030540F9" w:rsidR="00187874" w:rsidRPr="006906D1" w:rsidRDefault="00187874" w:rsidP="00187874">
            <w:pPr>
              <w:jc w:val="both"/>
            </w:pPr>
            <w:r w:rsidRPr="00D0552E">
              <w:t xml:space="preserve">3. Žádost uvedenou v odstavci 1 členské státy do jednoho měsíce od obdržení úplné žádosti posoudí spravedlivým a transparentním postupem. V případě, kdy předkladatel projektu nezaslal všechny relevantní a úplné informace nezbytné ke zpracování žádosti, členský stát jej pouze jednou vyzve, aby bez zbytečného odkladu předložil doplňující informace, aby žádost byla úplná. Datum, kdy byla potvrzena úplnost žádosti podané předkladatelem projektu, se považuje za datum zahájení postupu posuzování. Rozhodnutí, které je výsledkem tohoto postupu musí být odůvodněné a musí být </w:t>
            </w:r>
            <w:r w:rsidRPr="00D0552E">
              <w:lastRenderedPageBreak/>
              <w:t>sděleno předkladateli projektu a platformě podle článků 38 a 39.</w:t>
            </w:r>
          </w:p>
        </w:tc>
      </w:tr>
      <w:tr w:rsidR="00187874" w:rsidRPr="005D452F" w14:paraId="6AAE9D91" w14:textId="77777777" w:rsidTr="00A267C2">
        <w:tc>
          <w:tcPr>
            <w:tcW w:w="525" w:type="pct"/>
            <w:shd w:val="clear" w:color="auto" w:fill="auto"/>
            <w:tcMar>
              <w:top w:w="57" w:type="dxa"/>
              <w:bottom w:w="57" w:type="dxa"/>
            </w:tcMar>
          </w:tcPr>
          <w:p w14:paraId="3CFCD692" w14:textId="5351DE1E" w:rsidR="00187874" w:rsidRPr="00FB58A3" w:rsidRDefault="0051402B" w:rsidP="00187874">
            <w:r>
              <w:lastRenderedPageBreak/>
              <w:t xml:space="preserve">§ 4 odst. </w:t>
            </w:r>
            <w:r w:rsidR="006219FA">
              <w:t>7</w:t>
            </w:r>
          </w:p>
        </w:tc>
        <w:tc>
          <w:tcPr>
            <w:tcW w:w="1693" w:type="pct"/>
            <w:shd w:val="clear" w:color="auto" w:fill="auto"/>
            <w:tcMar>
              <w:top w:w="57" w:type="dxa"/>
              <w:bottom w:w="57" w:type="dxa"/>
            </w:tcMar>
          </w:tcPr>
          <w:p w14:paraId="4AC0750E" w14:textId="030538D1" w:rsidR="00187874" w:rsidRPr="006219FA" w:rsidRDefault="006219FA" w:rsidP="00187874">
            <w:pPr>
              <w:tabs>
                <w:tab w:val="left" w:pos="0"/>
              </w:tabs>
              <w:jc w:val="both"/>
              <w:rPr>
                <w:color w:val="000000" w:themeColor="text1"/>
                <w:u w:val="single"/>
              </w:rPr>
            </w:pPr>
            <w:r w:rsidRPr="006219FA">
              <w:rPr>
                <w:color w:val="000000" w:themeColor="text1"/>
              </w:rPr>
              <w:t xml:space="preserve">(7) </w:t>
            </w:r>
            <w:r>
              <w:rPr>
                <w:color w:val="000000" w:themeColor="text1"/>
              </w:rPr>
              <w:t xml:space="preserve">    </w:t>
            </w:r>
            <w:r w:rsidRPr="006219FA">
              <w:rPr>
                <w:color w:val="000000" w:themeColor="text1"/>
                <w:u w:val="single"/>
              </w:rPr>
              <w:t xml:space="preserve">Nerozhodne-li ministerstvo o žádosti do 1 měsíce ode dne oznámení o úplnosti žádosti podle odstavce 2 nebo nejedná-li se zvlášť složitý případ podle odstavce 4, vzniká žadateli o uznání projektu pro nulové čisté emise za strategický projekt právo na poskytnutí nové lhůty ministerstvem, která nesmí být delší než 30 dnů, od uplynutí původní lhůty.  </w:t>
            </w:r>
          </w:p>
        </w:tc>
        <w:tc>
          <w:tcPr>
            <w:tcW w:w="542" w:type="pct"/>
            <w:shd w:val="clear" w:color="auto" w:fill="auto"/>
            <w:tcMar>
              <w:top w:w="57" w:type="dxa"/>
              <w:bottom w:w="57" w:type="dxa"/>
            </w:tcMar>
          </w:tcPr>
          <w:p w14:paraId="54578801" w14:textId="717F1FB9"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3D097A1C" w14:textId="7384B8ED" w:rsidR="00187874" w:rsidRDefault="00187874" w:rsidP="00187874">
            <w:r>
              <w:t>Čl. 14 odst. 4</w:t>
            </w:r>
          </w:p>
        </w:tc>
        <w:tc>
          <w:tcPr>
            <w:tcW w:w="1753" w:type="pct"/>
            <w:shd w:val="clear" w:color="auto" w:fill="auto"/>
            <w:tcMar>
              <w:top w:w="57" w:type="dxa"/>
              <w:bottom w:w="57" w:type="dxa"/>
            </w:tcMar>
          </w:tcPr>
          <w:p w14:paraId="2F9E65A8" w14:textId="7DD95426" w:rsidR="00187874" w:rsidRPr="00D0552E" w:rsidRDefault="00187874" w:rsidP="00187874">
            <w:pPr>
              <w:jc w:val="both"/>
            </w:pPr>
            <w:r w:rsidRPr="00D0552E">
              <w:t>4. Nepřijal-li členský stát ve lhůtě uvedené v odstavci 3 žádné rozhodnutí, může jej na to předkladatel projektu upozornit a neprodleně jej požádat, aby mu poskytl aktualizovanou lhůtu, která nesmí být delší než 30 dnů, od uplynutí původní lhůty.</w:t>
            </w:r>
          </w:p>
        </w:tc>
      </w:tr>
      <w:tr w:rsidR="00187874" w:rsidRPr="005D452F" w14:paraId="3F908FD5" w14:textId="77777777" w:rsidTr="00A267C2">
        <w:tc>
          <w:tcPr>
            <w:tcW w:w="525" w:type="pct"/>
            <w:shd w:val="clear" w:color="auto" w:fill="auto"/>
            <w:tcMar>
              <w:top w:w="57" w:type="dxa"/>
              <w:bottom w:w="57" w:type="dxa"/>
            </w:tcMar>
          </w:tcPr>
          <w:p w14:paraId="5BE2CBC9" w14:textId="067C70C0" w:rsidR="00187874" w:rsidRPr="00FB58A3" w:rsidRDefault="0053571F" w:rsidP="00187874">
            <w:r>
              <w:t xml:space="preserve">§ 4 odst. </w:t>
            </w:r>
            <w:r w:rsidR="006219FA">
              <w:t>6</w:t>
            </w:r>
          </w:p>
        </w:tc>
        <w:tc>
          <w:tcPr>
            <w:tcW w:w="1693" w:type="pct"/>
            <w:shd w:val="clear" w:color="auto" w:fill="auto"/>
            <w:tcMar>
              <w:top w:w="57" w:type="dxa"/>
              <w:bottom w:w="57" w:type="dxa"/>
            </w:tcMar>
          </w:tcPr>
          <w:p w14:paraId="26B0B790" w14:textId="50F34769" w:rsidR="00187874" w:rsidRDefault="0053571F" w:rsidP="00187874">
            <w:pPr>
              <w:tabs>
                <w:tab w:val="left" w:pos="0"/>
              </w:tabs>
              <w:jc w:val="both"/>
              <w:rPr>
                <w:color w:val="FF0000"/>
              </w:rPr>
            </w:pPr>
            <w:r w:rsidRPr="0053571F">
              <w:rPr>
                <w:color w:val="000000" w:themeColor="text1"/>
              </w:rPr>
              <w:t>(5)</w:t>
            </w:r>
            <w:r w:rsidRPr="0053571F">
              <w:rPr>
                <w:color w:val="000000" w:themeColor="text1"/>
              </w:rPr>
              <w:tab/>
            </w:r>
            <w:r w:rsidRPr="0053571F">
              <w:rPr>
                <w:color w:val="000000" w:themeColor="text1"/>
                <w:u w:val="single"/>
              </w:rPr>
              <w:t>Ministerstvo může své rozhodnutí o uznání projektu pro nulové čisté emise za strategický zrušit, a to za podmínky uvedené v čl. 14 odst. 7 nařízení Evropského parlamentu a Rady (EU) 2024/1735.</w:t>
            </w:r>
          </w:p>
        </w:tc>
        <w:tc>
          <w:tcPr>
            <w:tcW w:w="542" w:type="pct"/>
            <w:shd w:val="clear" w:color="auto" w:fill="auto"/>
            <w:tcMar>
              <w:top w:w="57" w:type="dxa"/>
              <w:bottom w:w="57" w:type="dxa"/>
            </w:tcMar>
          </w:tcPr>
          <w:p w14:paraId="647EC51C" w14:textId="6CF1F5A7"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6E5CAD0B" w14:textId="4C285F5A" w:rsidR="00187874" w:rsidRDefault="00187874" w:rsidP="00187874">
            <w:r>
              <w:t>Čl. 14 odst. 7</w:t>
            </w:r>
          </w:p>
        </w:tc>
        <w:tc>
          <w:tcPr>
            <w:tcW w:w="1753" w:type="pct"/>
            <w:shd w:val="clear" w:color="auto" w:fill="auto"/>
            <w:tcMar>
              <w:top w:w="57" w:type="dxa"/>
              <w:bottom w:w="57" w:type="dxa"/>
            </w:tcMar>
          </w:tcPr>
          <w:p w14:paraId="74677215" w14:textId="44B4E3CC" w:rsidR="00187874" w:rsidRPr="00D0552E" w:rsidRDefault="00187874" w:rsidP="00187874">
            <w:pPr>
              <w:jc w:val="both"/>
            </w:pPr>
            <w:r w:rsidRPr="00D0552E">
              <w:t>7. Pokud Komise nebo členský stát zjistí, že strategický projekt pro nulové čisté emise prošel podstatnými změnami nebo že již nesplňuje kritéria stanovená v článku 13, nebo pokud bylo jeho uznání za strategický projekt pro nulové čisté emise založeno na žádosti obsahující nesprávné informace, informuje o tom dotčeného předkladatele projektu. Po vyslechnutí předkladatele projektu může členský stát rozhodnutí, kterým se projekt uznává za strategický projekt pro nulové čisté emise, zrušit.</w:t>
            </w:r>
          </w:p>
        </w:tc>
      </w:tr>
      <w:tr w:rsidR="00187874" w14:paraId="1A087608" w14:textId="77777777" w:rsidTr="00A267C2">
        <w:trPr>
          <w:trHeight w:val="300"/>
        </w:trPr>
        <w:tc>
          <w:tcPr>
            <w:tcW w:w="525" w:type="pct"/>
            <w:shd w:val="clear" w:color="auto" w:fill="auto"/>
            <w:tcMar>
              <w:top w:w="57" w:type="dxa"/>
              <w:bottom w:w="57" w:type="dxa"/>
            </w:tcMar>
          </w:tcPr>
          <w:p w14:paraId="17F01DA2" w14:textId="77777777" w:rsidR="00187874" w:rsidRDefault="008E055D" w:rsidP="00187874">
            <w:pPr>
              <w:spacing w:line="259" w:lineRule="auto"/>
              <w:jc w:val="both"/>
            </w:pPr>
            <w:r>
              <w:lastRenderedPageBreak/>
              <w:t>§ 2 odst. 2</w:t>
            </w:r>
          </w:p>
          <w:p w14:paraId="2CEF4D03" w14:textId="77777777" w:rsidR="008E055D" w:rsidRDefault="008E055D" w:rsidP="00187874">
            <w:pPr>
              <w:spacing w:line="259" w:lineRule="auto"/>
              <w:jc w:val="both"/>
            </w:pPr>
          </w:p>
          <w:p w14:paraId="4B15BAA8" w14:textId="77777777" w:rsidR="008E055D" w:rsidRDefault="008E055D" w:rsidP="00187874">
            <w:pPr>
              <w:spacing w:line="259" w:lineRule="auto"/>
              <w:jc w:val="both"/>
            </w:pPr>
          </w:p>
          <w:p w14:paraId="6024019D" w14:textId="77777777" w:rsidR="008E055D" w:rsidRDefault="008E055D" w:rsidP="00187874">
            <w:pPr>
              <w:spacing w:line="259" w:lineRule="auto"/>
              <w:jc w:val="both"/>
            </w:pPr>
          </w:p>
          <w:p w14:paraId="31DA1BAE" w14:textId="77777777" w:rsidR="008E055D" w:rsidRDefault="008E055D" w:rsidP="00187874">
            <w:pPr>
              <w:spacing w:line="259" w:lineRule="auto"/>
              <w:jc w:val="both"/>
            </w:pPr>
          </w:p>
          <w:p w14:paraId="0D7B1CD0" w14:textId="77777777" w:rsidR="008E055D" w:rsidRDefault="008E055D" w:rsidP="00187874">
            <w:pPr>
              <w:spacing w:line="259" w:lineRule="auto"/>
              <w:jc w:val="both"/>
            </w:pPr>
          </w:p>
          <w:p w14:paraId="5C27FC63" w14:textId="77777777" w:rsidR="008E055D" w:rsidRDefault="008E055D" w:rsidP="00187874">
            <w:pPr>
              <w:spacing w:line="259" w:lineRule="auto"/>
              <w:jc w:val="both"/>
            </w:pPr>
          </w:p>
          <w:p w14:paraId="77348205" w14:textId="77777777" w:rsidR="008E055D" w:rsidRDefault="008E055D" w:rsidP="00187874">
            <w:pPr>
              <w:spacing w:line="259" w:lineRule="auto"/>
              <w:jc w:val="both"/>
            </w:pPr>
          </w:p>
          <w:p w14:paraId="3D7B1B4A" w14:textId="1BFEA5A4" w:rsidR="008E055D" w:rsidRDefault="008E055D" w:rsidP="00187874">
            <w:pPr>
              <w:spacing w:line="259" w:lineRule="auto"/>
              <w:jc w:val="both"/>
            </w:pPr>
            <w:r>
              <w:t xml:space="preserve">§ 3 odst. </w:t>
            </w:r>
            <w:r w:rsidR="00A13334">
              <w:t>4</w:t>
            </w:r>
          </w:p>
          <w:p w14:paraId="1325526F" w14:textId="689AA91D" w:rsidR="00A13334" w:rsidRDefault="00A13334" w:rsidP="00187874">
            <w:pPr>
              <w:spacing w:line="259" w:lineRule="auto"/>
              <w:jc w:val="both"/>
            </w:pPr>
            <w:r>
              <w:t>písm. a)</w:t>
            </w:r>
          </w:p>
          <w:p w14:paraId="4F14A23D" w14:textId="77777777" w:rsidR="008E055D" w:rsidRDefault="008E055D" w:rsidP="00187874">
            <w:pPr>
              <w:spacing w:line="259" w:lineRule="auto"/>
              <w:jc w:val="both"/>
            </w:pPr>
          </w:p>
          <w:p w14:paraId="6862B476" w14:textId="77777777" w:rsidR="008E055D" w:rsidRDefault="008E055D" w:rsidP="00187874">
            <w:pPr>
              <w:spacing w:line="259" w:lineRule="auto"/>
              <w:jc w:val="both"/>
            </w:pPr>
          </w:p>
          <w:p w14:paraId="1FF4D4DB" w14:textId="77777777" w:rsidR="008E055D" w:rsidRDefault="008E055D" w:rsidP="00187874">
            <w:pPr>
              <w:spacing w:line="259" w:lineRule="auto"/>
              <w:jc w:val="both"/>
            </w:pPr>
          </w:p>
          <w:p w14:paraId="4366C9A9" w14:textId="77777777" w:rsidR="008E055D" w:rsidRDefault="008E055D" w:rsidP="00187874">
            <w:pPr>
              <w:spacing w:line="259" w:lineRule="auto"/>
              <w:jc w:val="both"/>
            </w:pPr>
          </w:p>
          <w:p w14:paraId="0EB6CAA5" w14:textId="681EEB55" w:rsidR="008E055D" w:rsidRDefault="008E055D" w:rsidP="00187874">
            <w:pPr>
              <w:spacing w:line="259" w:lineRule="auto"/>
              <w:jc w:val="both"/>
            </w:pPr>
            <w:r>
              <w:t xml:space="preserve">§ 4 odst. </w:t>
            </w:r>
            <w:r w:rsidR="00A13334">
              <w:t>9</w:t>
            </w:r>
          </w:p>
          <w:p w14:paraId="249851AE" w14:textId="41F5D345" w:rsidR="008E055D" w:rsidRDefault="008E055D" w:rsidP="00187874">
            <w:pPr>
              <w:spacing w:line="259" w:lineRule="auto"/>
              <w:jc w:val="both"/>
            </w:pPr>
          </w:p>
        </w:tc>
        <w:tc>
          <w:tcPr>
            <w:tcW w:w="1693" w:type="pct"/>
            <w:shd w:val="clear" w:color="auto" w:fill="auto"/>
            <w:tcMar>
              <w:top w:w="57" w:type="dxa"/>
              <w:bottom w:w="57" w:type="dxa"/>
            </w:tcMar>
          </w:tcPr>
          <w:p w14:paraId="70B9ACC1" w14:textId="77777777" w:rsidR="00A13334" w:rsidRPr="00A13334" w:rsidRDefault="00A13334" w:rsidP="00A13334">
            <w:pPr>
              <w:spacing w:line="259" w:lineRule="auto"/>
              <w:jc w:val="both"/>
              <w:rPr>
                <w:u w:val="single"/>
              </w:rPr>
            </w:pPr>
            <w:r w:rsidRPr="00A13334">
              <w:t>(2)</w:t>
            </w:r>
            <w:r w:rsidRPr="00A13334">
              <w:tab/>
            </w:r>
            <w:r w:rsidRPr="00A13334">
              <w:rPr>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p w14:paraId="1E3C6504" w14:textId="77777777" w:rsidR="008E055D" w:rsidRDefault="008E055D" w:rsidP="00187874">
            <w:pPr>
              <w:spacing w:line="259" w:lineRule="auto"/>
              <w:jc w:val="both"/>
            </w:pPr>
          </w:p>
          <w:p w14:paraId="21A81AB0" w14:textId="1F7C8E98" w:rsidR="008E055D" w:rsidRPr="008E055D" w:rsidRDefault="008E055D" w:rsidP="008E055D">
            <w:pPr>
              <w:spacing w:line="259" w:lineRule="auto"/>
              <w:jc w:val="both"/>
              <w:rPr>
                <w:u w:val="single"/>
              </w:rPr>
            </w:pPr>
            <w:r>
              <w:t>(</w:t>
            </w:r>
            <w:r w:rsidR="00A13334">
              <w:t>4</w:t>
            </w:r>
            <w:r>
              <w:t>)</w:t>
            </w:r>
            <w:r>
              <w:tab/>
            </w:r>
            <w:r w:rsidRPr="008E055D">
              <w:rPr>
                <w:u w:val="single"/>
              </w:rPr>
              <w:t xml:space="preserve">Jednotné kontaktní místo </w:t>
            </w:r>
          </w:p>
          <w:p w14:paraId="4A4CB32D" w14:textId="392A0495" w:rsidR="008E055D" w:rsidRDefault="008E055D" w:rsidP="008E055D">
            <w:pPr>
              <w:spacing w:line="259" w:lineRule="auto"/>
              <w:jc w:val="both"/>
              <w:rPr>
                <w:u w:val="single"/>
              </w:rPr>
            </w:pPr>
            <w:r w:rsidRPr="008E055D">
              <w:rPr>
                <w:u w:val="single"/>
              </w:rPr>
              <w:t>a)</w:t>
            </w:r>
            <w:r w:rsidRPr="008E055D">
              <w:rPr>
                <w:u w:val="single"/>
              </w:rPr>
              <w:tab/>
              <w:t>plní informační a koordinační úkoly podle čl. 6 odst. 3 a 5, čl. 9 a čl. 15 odst. 1 nařízení Evropského parlamentu a Rady (EU) 2024/1735</w:t>
            </w:r>
            <w:r w:rsidR="00A13334">
              <w:rPr>
                <w:u w:val="single"/>
              </w:rPr>
              <w:t>,</w:t>
            </w:r>
          </w:p>
          <w:p w14:paraId="3CBD1621" w14:textId="77777777" w:rsidR="008E055D" w:rsidRDefault="008E055D" w:rsidP="008E055D">
            <w:pPr>
              <w:spacing w:line="259" w:lineRule="auto"/>
              <w:jc w:val="both"/>
            </w:pPr>
          </w:p>
          <w:p w14:paraId="0E106183" w14:textId="77777777" w:rsidR="008E055D" w:rsidRDefault="008E055D" w:rsidP="008E055D">
            <w:pPr>
              <w:spacing w:line="259" w:lineRule="auto"/>
              <w:jc w:val="both"/>
              <w:rPr>
                <w:u w:val="single"/>
              </w:rPr>
            </w:pPr>
            <w:r>
              <w:t>(</w:t>
            </w:r>
            <w:r w:rsidR="00D807C9">
              <w:t>9</w:t>
            </w:r>
            <w:r>
              <w:t xml:space="preserve">) </w:t>
            </w:r>
            <w:r w:rsidRPr="008E055D">
              <w:rPr>
                <w:u w:val="single"/>
              </w:rPr>
              <w:t>Ministerstvo plní oznamovací povinnost podle čl. 14 odst. 3 nařízení Evropského parlamentu a Rady (EU) 2024/1735 o uznaných a neuznaných strategických projektech pro nulové čisté emise vůči Platformě pro nulové čisté emise v Evropě podle čl. 38 a 39 nařízení Evropského parlamentu a Rady (EU) 2024/1735 a informace o uznaných strategických projektech poskytuje místně příslušnému krajskému úřadu nebo Dopravnímu a energetickému stavebnímu úřadu.</w:t>
            </w:r>
          </w:p>
          <w:p w14:paraId="4280F7E2" w14:textId="77777777" w:rsidR="00221A8F" w:rsidRDefault="00221A8F" w:rsidP="008E055D">
            <w:pPr>
              <w:spacing w:line="259" w:lineRule="auto"/>
              <w:jc w:val="both"/>
              <w:rPr>
                <w:u w:val="single"/>
              </w:rPr>
            </w:pPr>
          </w:p>
          <w:p w14:paraId="4ED1AF2E" w14:textId="257988C7" w:rsidR="00221A8F" w:rsidRDefault="00221A8F" w:rsidP="008E055D">
            <w:pPr>
              <w:spacing w:line="259" w:lineRule="auto"/>
              <w:jc w:val="both"/>
            </w:pPr>
          </w:p>
        </w:tc>
        <w:tc>
          <w:tcPr>
            <w:tcW w:w="542" w:type="pct"/>
            <w:shd w:val="clear" w:color="auto" w:fill="auto"/>
            <w:tcMar>
              <w:top w:w="57" w:type="dxa"/>
              <w:bottom w:w="57" w:type="dxa"/>
            </w:tcMar>
          </w:tcPr>
          <w:p w14:paraId="4DB684AD" w14:textId="10682523" w:rsidR="00187874" w:rsidRDefault="00187874" w:rsidP="00187874">
            <w:r w:rsidRPr="00163132">
              <w:rPr>
                <w:color w:val="333333"/>
                <w:shd w:val="clear" w:color="auto" w:fill="FFFFFF"/>
              </w:rPr>
              <w:t>32024R1735</w:t>
            </w:r>
          </w:p>
        </w:tc>
        <w:tc>
          <w:tcPr>
            <w:tcW w:w="487" w:type="pct"/>
            <w:shd w:val="clear" w:color="auto" w:fill="auto"/>
            <w:tcMar>
              <w:top w:w="57" w:type="dxa"/>
              <w:bottom w:w="57" w:type="dxa"/>
            </w:tcMar>
          </w:tcPr>
          <w:p w14:paraId="248801A0" w14:textId="62D33E4E" w:rsidR="00187874" w:rsidRDefault="00187874" w:rsidP="00187874">
            <w:r>
              <w:t>Čl. 15 odst. 1</w:t>
            </w:r>
          </w:p>
        </w:tc>
        <w:tc>
          <w:tcPr>
            <w:tcW w:w="1753" w:type="pct"/>
            <w:shd w:val="clear" w:color="auto" w:fill="auto"/>
            <w:tcMar>
              <w:top w:w="57" w:type="dxa"/>
              <w:bottom w:w="57" w:type="dxa"/>
            </w:tcMar>
          </w:tcPr>
          <w:p w14:paraId="5322A00C" w14:textId="564461D8" w:rsidR="00187874" w:rsidRPr="006906D1" w:rsidRDefault="00187874" w:rsidP="00187874">
            <w:pPr>
              <w:spacing w:line="259" w:lineRule="auto"/>
              <w:jc w:val="both"/>
            </w:pPr>
            <w:r w:rsidRPr="006906D1">
              <w:t>1. Předkladatelé projektů a všechny dotčené orgány zajistí, aby v případě strategických projektů pro nulové čisté emise proběhly příslušné postupy co nejrychleji v souladu s právem Unie a vnitrostátním právem.</w:t>
            </w:r>
          </w:p>
        </w:tc>
      </w:tr>
      <w:tr w:rsidR="00187874" w14:paraId="5C35999A" w14:textId="77777777" w:rsidTr="00A267C2">
        <w:trPr>
          <w:trHeight w:val="300"/>
        </w:trPr>
        <w:tc>
          <w:tcPr>
            <w:tcW w:w="525" w:type="pct"/>
            <w:shd w:val="clear" w:color="auto" w:fill="auto"/>
            <w:tcMar>
              <w:top w:w="57" w:type="dxa"/>
              <w:bottom w:w="57" w:type="dxa"/>
            </w:tcMar>
          </w:tcPr>
          <w:p w14:paraId="7E6ACB39" w14:textId="77777777" w:rsidR="00187874" w:rsidRDefault="00221A8F" w:rsidP="00187874">
            <w:pPr>
              <w:spacing w:line="259" w:lineRule="auto"/>
              <w:jc w:val="both"/>
            </w:pPr>
            <w:r>
              <w:lastRenderedPageBreak/>
              <w:t>ČÁST TŘETÍ</w:t>
            </w:r>
          </w:p>
          <w:p w14:paraId="7A678A62" w14:textId="77777777" w:rsidR="00221A8F" w:rsidRDefault="00221A8F" w:rsidP="00187874">
            <w:pPr>
              <w:spacing w:line="259" w:lineRule="auto"/>
              <w:jc w:val="both"/>
            </w:pPr>
            <w:r>
              <w:t>Změna zákona o urychlení výstavby strategicky</w:t>
            </w:r>
          </w:p>
          <w:p w14:paraId="16F1C2A6" w14:textId="77777777" w:rsidR="00221A8F" w:rsidRDefault="00221A8F" w:rsidP="00187874">
            <w:pPr>
              <w:spacing w:line="259" w:lineRule="auto"/>
              <w:jc w:val="both"/>
            </w:pPr>
            <w:r>
              <w:t>Významné infrastruktury</w:t>
            </w:r>
          </w:p>
          <w:p w14:paraId="4E041168" w14:textId="77777777" w:rsidR="00221A8F" w:rsidRDefault="00221A8F" w:rsidP="00187874">
            <w:pPr>
              <w:spacing w:line="259" w:lineRule="auto"/>
              <w:jc w:val="both"/>
            </w:pPr>
          </w:p>
          <w:p w14:paraId="1D7DB27A" w14:textId="1F368D0A" w:rsidR="00221A8F" w:rsidRDefault="00221A8F" w:rsidP="00187874">
            <w:pPr>
              <w:spacing w:line="259" w:lineRule="auto"/>
              <w:jc w:val="both"/>
            </w:pPr>
            <w:r>
              <w:t>Bod 3</w:t>
            </w:r>
          </w:p>
        </w:tc>
        <w:tc>
          <w:tcPr>
            <w:tcW w:w="1693" w:type="pct"/>
            <w:shd w:val="clear" w:color="auto" w:fill="auto"/>
            <w:tcMar>
              <w:top w:w="57" w:type="dxa"/>
              <w:bottom w:w="57" w:type="dxa"/>
            </w:tcMar>
          </w:tcPr>
          <w:p w14:paraId="6078A8BA" w14:textId="77777777" w:rsidR="00221A8F" w:rsidRPr="00221A8F" w:rsidRDefault="00221A8F" w:rsidP="00221A8F">
            <w:pPr>
              <w:spacing w:line="259" w:lineRule="auto"/>
              <w:jc w:val="both"/>
            </w:pPr>
            <w:r w:rsidRPr="00221A8F">
              <w:t>§ 5j</w:t>
            </w:r>
          </w:p>
          <w:p w14:paraId="0FEDDE69" w14:textId="297EF19D" w:rsidR="00221A8F" w:rsidRDefault="00221A8F" w:rsidP="00221A8F">
            <w:pPr>
              <w:spacing w:line="259" w:lineRule="auto"/>
              <w:jc w:val="both"/>
              <w:rPr>
                <w:b/>
                <w:bCs/>
              </w:rPr>
            </w:pPr>
            <w:r w:rsidRPr="00221A8F">
              <w:rPr>
                <w:b/>
                <w:bCs/>
              </w:rPr>
              <w:t>Přijetí rozhodnutí o určení oblasti jako údolí pro urychlení zavádění technologií pro nulové čisté emise</w:t>
            </w:r>
          </w:p>
          <w:p w14:paraId="0607DEF8" w14:textId="77777777" w:rsidR="00221A8F" w:rsidRPr="00221A8F" w:rsidRDefault="00221A8F" w:rsidP="00221A8F">
            <w:pPr>
              <w:spacing w:line="259" w:lineRule="auto"/>
              <w:jc w:val="both"/>
              <w:rPr>
                <w:b/>
                <w:bCs/>
              </w:rPr>
            </w:pPr>
          </w:p>
          <w:p w14:paraId="337A18C5" w14:textId="77777777" w:rsidR="00221A8F" w:rsidRPr="00221A8F" w:rsidRDefault="00221A8F" w:rsidP="00221A8F">
            <w:pPr>
              <w:spacing w:line="259" w:lineRule="auto"/>
              <w:jc w:val="both"/>
            </w:pPr>
            <w:r w:rsidRPr="00221A8F">
              <w:t>(1)</w:t>
            </w:r>
            <w:r w:rsidRPr="00221A8F">
              <w:tab/>
            </w:r>
            <w:r w:rsidRPr="00221A8F">
              <w:rPr>
                <w:u w:val="single"/>
              </w:rPr>
              <w:t xml:space="preserve">Jako údolí pro urychlení zavádění technologií pro nulové čisté emise (dále jen „údolí“) mohou být na území České republiky v zastavitelných nebo transformačních plochách uvedených v příloze č. 3 k tomuto zákonu určeny oblasti, které </w:t>
            </w:r>
          </w:p>
          <w:p w14:paraId="6E150100" w14:textId="77777777" w:rsidR="00221A8F" w:rsidRPr="00221A8F" w:rsidRDefault="00221A8F" w:rsidP="00221A8F">
            <w:pPr>
              <w:spacing w:line="259" w:lineRule="auto"/>
              <w:jc w:val="both"/>
            </w:pPr>
            <w:r w:rsidRPr="00221A8F">
              <w:t>a)</w:t>
            </w:r>
            <w:r w:rsidRPr="00221A8F">
              <w:tab/>
            </w:r>
            <w:r w:rsidRPr="00221A8F">
              <w:rPr>
                <w:u w:val="single"/>
              </w:rPr>
              <w:t>jsou klíčovými centry pro podporu výrobních kapacit technologií pro nulové čisté emise a jejich integraci do energetického systému a poskytují potenciál rozšíření, reindustrializace nebo vytvoření průmyslových klastrů, nebo</w:t>
            </w:r>
          </w:p>
          <w:p w14:paraId="36D4491F" w14:textId="77777777" w:rsidR="00221A8F" w:rsidRPr="00221A8F" w:rsidRDefault="00221A8F" w:rsidP="00221A8F">
            <w:pPr>
              <w:spacing w:line="259" w:lineRule="auto"/>
              <w:jc w:val="both"/>
            </w:pPr>
            <w:r w:rsidRPr="00221A8F">
              <w:t>b)</w:t>
            </w:r>
            <w:r w:rsidRPr="00221A8F">
              <w:tab/>
            </w:r>
            <w:r w:rsidRPr="00221A8F">
              <w:rPr>
                <w:u w:val="single"/>
              </w:rPr>
              <w:t>významně přispívají k plnění cílů dekarbonizace průmyslových odvětví, regionální udržitelnosti a spravedlivé transformaci.</w:t>
            </w:r>
          </w:p>
          <w:p w14:paraId="0906084D" w14:textId="77777777" w:rsidR="00221A8F" w:rsidRPr="00221A8F" w:rsidRDefault="00221A8F" w:rsidP="00221A8F">
            <w:pPr>
              <w:spacing w:line="259" w:lineRule="auto"/>
              <w:jc w:val="both"/>
            </w:pPr>
            <w:r w:rsidRPr="00221A8F">
              <w:t>(2)</w:t>
            </w:r>
            <w:r w:rsidRPr="00221A8F">
              <w:tab/>
              <w:t>Oblasti určené jako údolí stanoví vláda nařízením, kde stanoví hranice těchto oblastí a pro každou z nich uvede</w:t>
            </w:r>
          </w:p>
          <w:p w14:paraId="477923E0" w14:textId="77777777" w:rsidR="00221A8F" w:rsidRPr="00221A8F" w:rsidRDefault="00221A8F" w:rsidP="00221A8F">
            <w:pPr>
              <w:spacing w:line="259" w:lineRule="auto"/>
              <w:jc w:val="both"/>
            </w:pPr>
            <w:r w:rsidRPr="00221A8F">
              <w:t>a)</w:t>
            </w:r>
            <w:r w:rsidRPr="00221A8F">
              <w:tab/>
            </w:r>
            <w:r w:rsidRPr="00221A8F">
              <w:rPr>
                <w:u w:val="single"/>
              </w:rPr>
              <w:t>název oblasti, její geografickou polohu včetně mapového zobrazení a její rozlohu</w:t>
            </w:r>
            <w:r w:rsidRPr="00221A8F">
              <w:t>,</w:t>
            </w:r>
          </w:p>
          <w:p w14:paraId="0D62212B" w14:textId="77777777" w:rsidR="00221A8F" w:rsidRPr="00221A8F" w:rsidRDefault="00221A8F" w:rsidP="00221A8F">
            <w:pPr>
              <w:spacing w:line="259" w:lineRule="auto"/>
              <w:jc w:val="both"/>
            </w:pPr>
            <w:r w:rsidRPr="00221A8F">
              <w:t>b)</w:t>
            </w:r>
            <w:r w:rsidRPr="00221A8F">
              <w:tab/>
            </w:r>
            <w:r w:rsidRPr="00221A8F">
              <w:rPr>
                <w:u w:val="single"/>
              </w:rPr>
              <w:t>technologický rozsah oblasti</w:t>
            </w:r>
            <w:r w:rsidRPr="00221A8F">
              <w:t>,</w:t>
            </w:r>
          </w:p>
          <w:p w14:paraId="089F2B77" w14:textId="77777777" w:rsidR="00221A8F" w:rsidRPr="00221A8F" w:rsidRDefault="00221A8F" w:rsidP="00221A8F">
            <w:pPr>
              <w:spacing w:line="259" w:lineRule="auto"/>
              <w:jc w:val="both"/>
            </w:pPr>
            <w:r w:rsidRPr="00221A8F">
              <w:t>c)</w:t>
            </w:r>
            <w:r w:rsidRPr="00221A8F">
              <w:tab/>
            </w:r>
            <w:r w:rsidRPr="00221A8F">
              <w:rPr>
                <w:u w:val="single"/>
              </w:rPr>
              <w:t>konkrétní opatření ke zvýšení atraktivity oblasti jako místa pro výrobní činnosti</w:t>
            </w:r>
            <w:r w:rsidRPr="00221A8F">
              <w:t xml:space="preserve"> a</w:t>
            </w:r>
          </w:p>
          <w:p w14:paraId="5D533A96" w14:textId="77777777" w:rsidR="00221A8F" w:rsidRPr="00221A8F" w:rsidRDefault="00221A8F" w:rsidP="00221A8F">
            <w:pPr>
              <w:spacing w:line="259" w:lineRule="auto"/>
              <w:jc w:val="both"/>
            </w:pPr>
            <w:r w:rsidRPr="00221A8F">
              <w:lastRenderedPageBreak/>
              <w:t>d)</w:t>
            </w:r>
            <w:r w:rsidRPr="00221A8F">
              <w:tab/>
            </w:r>
            <w:r w:rsidRPr="00221A8F">
              <w:rPr>
                <w:u w:val="single"/>
              </w:rPr>
              <w:t>strategické přínosy oblasti</w:t>
            </w:r>
            <w:r w:rsidRPr="00221A8F">
              <w:t>.</w:t>
            </w:r>
          </w:p>
          <w:p w14:paraId="7A34A472" w14:textId="28BFA2A8" w:rsidR="00187874" w:rsidRDefault="00221A8F" w:rsidP="00187874">
            <w:pPr>
              <w:spacing w:line="259" w:lineRule="auto"/>
              <w:jc w:val="both"/>
            </w:pPr>
            <w:r w:rsidRPr="00221A8F">
              <w:t>(3)</w:t>
            </w:r>
            <w:r w:rsidRPr="00221A8F">
              <w:tab/>
            </w:r>
            <w:r w:rsidRPr="00221A8F">
              <w:rPr>
                <w:u w:val="single"/>
              </w:rPr>
              <w:t>Přijetí rozhodnutí o určení oblasti jako údolí může být učiněno pouze v případě, že byly splněny podmínky uvedené v nařízení Evropského parlamentu a Rady (EU) 2024/1735</w:t>
            </w:r>
            <w:r w:rsidRPr="00221A8F">
              <w:t>.</w:t>
            </w:r>
          </w:p>
        </w:tc>
        <w:tc>
          <w:tcPr>
            <w:tcW w:w="542" w:type="pct"/>
            <w:shd w:val="clear" w:color="auto" w:fill="auto"/>
            <w:tcMar>
              <w:top w:w="57" w:type="dxa"/>
              <w:bottom w:w="57" w:type="dxa"/>
            </w:tcMar>
          </w:tcPr>
          <w:p w14:paraId="5095971C" w14:textId="635381E6"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15D2E404" w14:textId="6E1A8D32" w:rsidR="00187874" w:rsidRDefault="00187874" w:rsidP="00187874">
            <w:r>
              <w:t>Čl. 17 odst. 1</w:t>
            </w:r>
          </w:p>
        </w:tc>
        <w:tc>
          <w:tcPr>
            <w:tcW w:w="1753" w:type="pct"/>
            <w:shd w:val="clear" w:color="auto" w:fill="auto"/>
            <w:tcMar>
              <w:top w:w="57" w:type="dxa"/>
              <w:bottom w:w="57" w:type="dxa"/>
            </w:tcMar>
          </w:tcPr>
          <w:p w14:paraId="1AFD12C1" w14:textId="77777777" w:rsidR="00187874" w:rsidRDefault="00187874" w:rsidP="00187874">
            <w:pPr>
              <w:spacing w:line="259" w:lineRule="auto"/>
              <w:jc w:val="both"/>
            </w:pPr>
            <w:r w:rsidRPr="00D0552E">
              <w:t xml:space="preserve">Údolí pro urychlení zavádění technologií pro nulové čisté emise        </w:t>
            </w:r>
          </w:p>
          <w:p w14:paraId="568234EF" w14:textId="20BA0275" w:rsidR="00187874" w:rsidRPr="006906D1" w:rsidRDefault="00187874" w:rsidP="00187874">
            <w:pPr>
              <w:spacing w:line="259" w:lineRule="auto"/>
              <w:jc w:val="both"/>
            </w:pPr>
            <w:r w:rsidRPr="00D0552E">
              <w:t>1. Členské státy se mohou rozhodnout, že určí údolí pro urychlení zavádění technologií pro nulové čisté emise (dále jen „údolí“) jako konkrétní oblasti pro urychlení průmyslových činností pro nulové čisté emise, zejména pro urychlení zavádění projektů výroby technologií pro nulové čisté emise, včetně strategických projektů pro nulové čisté emise nebo jejich klastrů, nebo pro testování inovativních technologií pro nulové čisté emise. Cílem údolí je vytvořit klastry průmyslové činnosti s nulovými čistými emisemi a dále zefektivnit správní postupy.</w:t>
            </w:r>
          </w:p>
        </w:tc>
      </w:tr>
      <w:tr w:rsidR="00187874" w14:paraId="5D11FA44" w14:textId="77777777" w:rsidTr="00A267C2">
        <w:trPr>
          <w:trHeight w:val="300"/>
        </w:trPr>
        <w:tc>
          <w:tcPr>
            <w:tcW w:w="525" w:type="pct"/>
            <w:shd w:val="clear" w:color="auto" w:fill="auto"/>
            <w:tcMar>
              <w:top w:w="57" w:type="dxa"/>
              <w:bottom w:w="57" w:type="dxa"/>
            </w:tcMar>
          </w:tcPr>
          <w:p w14:paraId="3142BF78" w14:textId="77777777" w:rsidR="00105D31" w:rsidRDefault="00105D31" w:rsidP="00105D31">
            <w:pPr>
              <w:spacing w:line="259" w:lineRule="auto"/>
              <w:jc w:val="both"/>
            </w:pPr>
            <w:r>
              <w:lastRenderedPageBreak/>
              <w:t>ČÁST TŘETÍ</w:t>
            </w:r>
          </w:p>
          <w:p w14:paraId="68B821A7" w14:textId="77777777" w:rsidR="00105D31" w:rsidRDefault="00105D31" w:rsidP="00105D31">
            <w:pPr>
              <w:spacing w:line="259" w:lineRule="auto"/>
              <w:jc w:val="both"/>
            </w:pPr>
            <w:r>
              <w:t>Změna zákona o urychlení výstavby strategicky</w:t>
            </w:r>
          </w:p>
          <w:p w14:paraId="7AEFF34F" w14:textId="77777777" w:rsidR="00105D31" w:rsidRDefault="00105D31" w:rsidP="00105D31">
            <w:pPr>
              <w:spacing w:line="259" w:lineRule="auto"/>
              <w:jc w:val="both"/>
            </w:pPr>
            <w:r>
              <w:t>Významné infrastruktury</w:t>
            </w:r>
          </w:p>
          <w:p w14:paraId="62561043" w14:textId="77777777" w:rsidR="00105D31" w:rsidRDefault="00105D31" w:rsidP="00105D31">
            <w:pPr>
              <w:spacing w:line="259" w:lineRule="auto"/>
              <w:jc w:val="both"/>
            </w:pPr>
          </w:p>
          <w:p w14:paraId="4C4FBEF0" w14:textId="1ABAD034" w:rsidR="00366FF5" w:rsidRDefault="00105D31" w:rsidP="00105D31">
            <w:pPr>
              <w:spacing w:line="259" w:lineRule="auto"/>
              <w:jc w:val="both"/>
            </w:pPr>
            <w:r>
              <w:t>Bod 3</w:t>
            </w:r>
          </w:p>
          <w:p w14:paraId="45B7E477" w14:textId="77777777" w:rsidR="00366FF5" w:rsidRDefault="00366FF5" w:rsidP="00187874">
            <w:pPr>
              <w:spacing w:line="259" w:lineRule="auto"/>
              <w:jc w:val="both"/>
            </w:pPr>
          </w:p>
          <w:p w14:paraId="21D0A519" w14:textId="77777777" w:rsidR="00366FF5" w:rsidRDefault="00366FF5" w:rsidP="00187874">
            <w:pPr>
              <w:spacing w:line="259" w:lineRule="auto"/>
              <w:jc w:val="both"/>
            </w:pPr>
          </w:p>
          <w:p w14:paraId="16396DA1" w14:textId="77777777" w:rsidR="00366FF5" w:rsidRDefault="00366FF5" w:rsidP="00187874">
            <w:pPr>
              <w:spacing w:line="259" w:lineRule="auto"/>
              <w:jc w:val="both"/>
            </w:pPr>
          </w:p>
          <w:p w14:paraId="1A1535AC" w14:textId="77777777" w:rsidR="00366FF5" w:rsidRDefault="00366FF5" w:rsidP="00187874">
            <w:pPr>
              <w:spacing w:line="259" w:lineRule="auto"/>
              <w:jc w:val="both"/>
            </w:pPr>
          </w:p>
          <w:p w14:paraId="5EF9FDBB" w14:textId="77777777" w:rsidR="00366FF5" w:rsidRDefault="00366FF5" w:rsidP="00187874">
            <w:pPr>
              <w:spacing w:line="259" w:lineRule="auto"/>
              <w:jc w:val="both"/>
            </w:pPr>
          </w:p>
          <w:p w14:paraId="72FC99C2" w14:textId="77777777" w:rsidR="00366FF5" w:rsidRDefault="00366FF5" w:rsidP="00187874">
            <w:pPr>
              <w:spacing w:line="259" w:lineRule="auto"/>
              <w:jc w:val="both"/>
            </w:pPr>
          </w:p>
          <w:p w14:paraId="21EF0C35" w14:textId="77777777" w:rsidR="00366FF5" w:rsidRDefault="00366FF5" w:rsidP="00187874">
            <w:pPr>
              <w:spacing w:line="259" w:lineRule="auto"/>
              <w:jc w:val="both"/>
            </w:pPr>
          </w:p>
          <w:p w14:paraId="1980D598" w14:textId="77777777" w:rsidR="00366FF5" w:rsidRDefault="00366FF5" w:rsidP="00187874">
            <w:pPr>
              <w:spacing w:line="259" w:lineRule="auto"/>
              <w:jc w:val="both"/>
            </w:pPr>
          </w:p>
          <w:p w14:paraId="4DCABC94" w14:textId="77777777" w:rsidR="00366FF5" w:rsidRDefault="00366FF5" w:rsidP="00187874">
            <w:pPr>
              <w:spacing w:line="259" w:lineRule="auto"/>
              <w:jc w:val="both"/>
            </w:pPr>
          </w:p>
          <w:p w14:paraId="31B59264" w14:textId="77777777" w:rsidR="00366FF5" w:rsidRDefault="00366FF5" w:rsidP="00187874">
            <w:pPr>
              <w:spacing w:line="259" w:lineRule="auto"/>
              <w:jc w:val="both"/>
            </w:pPr>
          </w:p>
          <w:p w14:paraId="17DAA878" w14:textId="77777777" w:rsidR="00366FF5" w:rsidRDefault="00366FF5" w:rsidP="00187874">
            <w:pPr>
              <w:spacing w:line="259" w:lineRule="auto"/>
              <w:jc w:val="both"/>
            </w:pPr>
          </w:p>
          <w:p w14:paraId="0588AC55" w14:textId="77777777" w:rsidR="00366FF5" w:rsidRDefault="00366FF5" w:rsidP="00187874">
            <w:pPr>
              <w:spacing w:line="259" w:lineRule="auto"/>
              <w:jc w:val="both"/>
            </w:pPr>
          </w:p>
          <w:p w14:paraId="4F039C8E" w14:textId="77777777" w:rsidR="00366FF5" w:rsidRDefault="00366FF5" w:rsidP="00187874">
            <w:pPr>
              <w:spacing w:line="259" w:lineRule="auto"/>
              <w:jc w:val="both"/>
            </w:pPr>
          </w:p>
          <w:p w14:paraId="25A1A188" w14:textId="77777777" w:rsidR="00514AA6" w:rsidRDefault="00514AA6" w:rsidP="00187874">
            <w:pPr>
              <w:spacing w:line="259" w:lineRule="auto"/>
              <w:jc w:val="both"/>
            </w:pPr>
          </w:p>
          <w:p w14:paraId="11D3CAB5" w14:textId="079CCE43" w:rsidR="00366FF5" w:rsidRDefault="00366FF5" w:rsidP="00187874">
            <w:pPr>
              <w:spacing w:line="259" w:lineRule="auto"/>
              <w:jc w:val="both"/>
            </w:pPr>
            <w:r>
              <w:t>§ 5 odst. 3</w:t>
            </w:r>
          </w:p>
        </w:tc>
        <w:tc>
          <w:tcPr>
            <w:tcW w:w="1693" w:type="pct"/>
            <w:shd w:val="clear" w:color="auto" w:fill="auto"/>
            <w:tcMar>
              <w:top w:w="57" w:type="dxa"/>
              <w:bottom w:w="57" w:type="dxa"/>
            </w:tcMar>
          </w:tcPr>
          <w:p w14:paraId="06781FE7" w14:textId="77777777" w:rsidR="00105D31" w:rsidRPr="00105D31" w:rsidRDefault="00105D31" w:rsidP="00105D31">
            <w:pPr>
              <w:spacing w:line="259" w:lineRule="auto"/>
              <w:jc w:val="both"/>
              <w:rPr>
                <w:color w:val="000000" w:themeColor="text1"/>
              </w:rPr>
            </w:pPr>
            <w:r w:rsidRPr="00105D31">
              <w:rPr>
                <w:color w:val="000000" w:themeColor="text1"/>
              </w:rPr>
              <w:lastRenderedPageBreak/>
              <w:t>§ 5j</w:t>
            </w:r>
          </w:p>
          <w:p w14:paraId="496C9AD6" w14:textId="77777777" w:rsidR="00105D31" w:rsidRPr="00105D31" w:rsidRDefault="00105D31" w:rsidP="00105D31">
            <w:pPr>
              <w:spacing w:line="259" w:lineRule="auto"/>
              <w:jc w:val="both"/>
              <w:rPr>
                <w:b/>
                <w:bCs/>
                <w:color w:val="000000" w:themeColor="text1"/>
              </w:rPr>
            </w:pPr>
            <w:r w:rsidRPr="00105D31">
              <w:rPr>
                <w:b/>
                <w:bCs/>
                <w:color w:val="000000" w:themeColor="text1"/>
              </w:rPr>
              <w:t>Přijetí rozhodnutí o určení oblasti jako údolí pro urychlení zavádění technologií pro nulové čisté emise</w:t>
            </w:r>
          </w:p>
          <w:p w14:paraId="667CED3D" w14:textId="77777777" w:rsidR="00105D31" w:rsidRPr="00105D31" w:rsidRDefault="00105D31" w:rsidP="00105D31">
            <w:pPr>
              <w:spacing w:line="259" w:lineRule="auto"/>
              <w:jc w:val="both"/>
              <w:rPr>
                <w:b/>
                <w:bCs/>
                <w:color w:val="000000" w:themeColor="text1"/>
              </w:rPr>
            </w:pPr>
          </w:p>
          <w:p w14:paraId="61A633C5" w14:textId="77777777" w:rsidR="00105D31" w:rsidRPr="00105D31" w:rsidRDefault="00105D31" w:rsidP="00105D31">
            <w:pPr>
              <w:spacing w:line="259" w:lineRule="auto"/>
              <w:jc w:val="both"/>
              <w:rPr>
                <w:color w:val="000000" w:themeColor="text1"/>
              </w:rPr>
            </w:pPr>
            <w:r w:rsidRPr="00105D31">
              <w:rPr>
                <w:color w:val="000000" w:themeColor="text1"/>
              </w:rPr>
              <w:t>(1)</w:t>
            </w:r>
            <w:r w:rsidRPr="00105D31">
              <w:rPr>
                <w:color w:val="000000" w:themeColor="text1"/>
              </w:rPr>
              <w:tab/>
            </w:r>
            <w:r w:rsidRPr="00105D31">
              <w:rPr>
                <w:color w:val="000000" w:themeColor="text1"/>
                <w:u w:val="single"/>
              </w:rPr>
              <w:t xml:space="preserve">Jako údolí pro urychlení zavádění technologií pro nulové čisté emise (dále jen „údolí“) mohou být na území České republiky v zastavitelných nebo transformačních plochách uvedených v příloze č. 3 k tomuto zákonu určeny oblasti, které </w:t>
            </w:r>
          </w:p>
          <w:p w14:paraId="401CFB03" w14:textId="77777777" w:rsidR="00105D31" w:rsidRPr="00105D31" w:rsidRDefault="00105D31" w:rsidP="00105D31">
            <w:pPr>
              <w:spacing w:line="259" w:lineRule="auto"/>
              <w:jc w:val="both"/>
              <w:rPr>
                <w:color w:val="000000" w:themeColor="text1"/>
              </w:rPr>
            </w:pPr>
            <w:r w:rsidRPr="00105D31">
              <w:rPr>
                <w:color w:val="000000" w:themeColor="text1"/>
              </w:rPr>
              <w:t>a)</w:t>
            </w:r>
            <w:r w:rsidRPr="00105D31">
              <w:rPr>
                <w:color w:val="000000" w:themeColor="text1"/>
              </w:rPr>
              <w:tab/>
            </w:r>
            <w:r w:rsidRPr="00105D31">
              <w:rPr>
                <w:color w:val="000000" w:themeColor="text1"/>
                <w:u w:val="single"/>
              </w:rPr>
              <w:t>jsou klíčovými centry pro podporu výrobních kapacit technologií pro nulové čisté emise a jejich integraci do energetického systému a poskytují potenciál rozšíření, reindustrializace nebo vytvoření průmyslových klastrů, nebo</w:t>
            </w:r>
          </w:p>
          <w:p w14:paraId="32D671E4" w14:textId="77777777" w:rsidR="00105D31" w:rsidRPr="00105D31" w:rsidRDefault="00105D31" w:rsidP="00105D31">
            <w:pPr>
              <w:spacing w:line="259" w:lineRule="auto"/>
              <w:jc w:val="both"/>
              <w:rPr>
                <w:color w:val="000000" w:themeColor="text1"/>
              </w:rPr>
            </w:pPr>
            <w:r w:rsidRPr="00105D31">
              <w:rPr>
                <w:color w:val="000000" w:themeColor="text1"/>
              </w:rPr>
              <w:t>b)</w:t>
            </w:r>
            <w:r w:rsidRPr="00105D31">
              <w:rPr>
                <w:color w:val="000000" w:themeColor="text1"/>
              </w:rPr>
              <w:tab/>
            </w:r>
            <w:r w:rsidRPr="00105D31">
              <w:rPr>
                <w:color w:val="000000" w:themeColor="text1"/>
                <w:u w:val="single"/>
              </w:rPr>
              <w:t>významně přispívají k plnění cílů dekarbonizace průmyslových odvětví, regionální udržitelnosti a spravedlivé transformaci.</w:t>
            </w:r>
          </w:p>
          <w:p w14:paraId="67DBFC76" w14:textId="77777777" w:rsidR="00105D31" w:rsidRPr="00105D31" w:rsidRDefault="00105D31" w:rsidP="00105D31">
            <w:pPr>
              <w:spacing w:line="259" w:lineRule="auto"/>
              <w:jc w:val="both"/>
              <w:rPr>
                <w:color w:val="000000" w:themeColor="text1"/>
              </w:rPr>
            </w:pPr>
            <w:r w:rsidRPr="00105D31">
              <w:rPr>
                <w:color w:val="000000" w:themeColor="text1"/>
              </w:rPr>
              <w:lastRenderedPageBreak/>
              <w:t>(2)</w:t>
            </w:r>
            <w:r w:rsidRPr="00105D31">
              <w:rPr>
                <w:color w:val="000000" w:themeColor="text1"/>
              </w:rPr>
              <w:tab/>
              <w:t>Oblasti určené jako údolí stanoví vláda nařízením, kde stanoví hranice těchto oblastí a pro každou z nich uvede</w:t>
            </w:r>
          </w:p>
          <w:p w14:paraId="7D712364" w14:textId="77777777" w:rsidR="00105D31" w:rsidRPr="00105D31" w:rsidRDefault="00105D31" w:rsidP="00105D31">
            <w:pPr>
              <w:spacing w:line="259" w:lineRule="auto"/>
              <w:jc w:val="both"/>
              <w:rPr>
                <w:color w:val="000000" w:themeColor="text1"/>
              </w:rPr>
            </w:pPr>
            <w:r w:rsidRPr="00105D31">
              <w:rPr>
                <w:color w:val="000000" w:themeColor="text1"/>
              </w:rPr>
              <w:t>a)</w:t>
            </w:r>
            <w:r w:rsidRPr="00105D31">
              <w:rPr>
                <w:color w:val="000000" w:themeColor="text1"/>
              </w:rPr>
              <w:tab/>
            </w:r>
            <w:r w:rsidRPr="00105D31">
              <w:rPr>
                <w:color w:val="000000" w:themeColor="text1"/>
                <w:u w:val="single"/>
              </w:rPr>
              <w:t>název oblasti, její geografickou polohu včetně mapového zobrazení a její rozlohu</w:t>
            </w:r>
            <w:r w:rsidRPr="00105D31">
              <w:rPr>
                <w:color w:val="000000" w:themeColor="text1"/>
              </w:rPr>
              <w:t>,</w:t>
            </w:r>
          </w:p>
          <w:p w14:paraId="78679C13" w14:textId="77777777" w:rsidR="00105D31" w:rsidRPr="00105D31" w:rsidRDefault="00105D31" w:rsidP="00105D31">
            <w:pPr>
              <w:spacing w:line="259" w:lineRule="auto"/>
              <w:jc w:val="both"/>
              <w:rPr>
                <w:color w:val="000000" w:themeColor="text1"/>
              </w:rPr>
            </w:pPr>
            <w:r w:rsidRPr="00105D31">
              <w:rPr>
                <w:color w:val="000000" w:themeColor="text1"/>
              </w:rPr>
              <w:t>b)</w:t>
            </w:r>
            <w:r w:rsidRPr="00105D31">
              <w:rPr>
                <w:color w:val="000000" w:themeColor="text1"/>
              </w:rPr>
              <w:tab/>
            </w:r>
            <w:r w:rsidRPr="00105D31">
              <w:rPr>
                <w:color w:val="000000" w:themeColor="text1"/>
                <w:u w:val="single"/>
              </w:rPr>
              <w:t>technologický rozsah oblasti</w:t>
            </w:r>
            <w:r w:rsidRPr="00105D31">
              <w:rPr>
                <w:color w:val="000000" w:themeColor="text1"/>
              </w:rPr>
              <w:t>,</w:t>
            </w:r>
          </w:p>
          <w:p w14:paraId="39DB82B5" w14:textId="77777777" w:rsidR="00105D31" w:rsidRPr="00105D31" w:rsidRDefault="00105D31" w:rsidP="00105D31">
            <w:pPr>
              <w:spacing w:line="259" w:lineRule="auto"/>
              <w:jc w:val="both"/>
              <w:rPr>
                <w:color w:val="000000" w:themeColor="text1"/>
              </w:rPr>
            </w:pPr>
            <w:r w:rsidRPr="00105D31">
              <w:rPr>
                <w:color w:val="000000" w:themeColor="text1"/>
              </w:rPr>
              <w:t>c)</w:t>
            </w:r>
            <w:r w:rsidRPr="00105D31">
              <w:rPr>
                <w:color w:val="000000" w:themeColor="text1"/>
              </w:rPr>
              <w:tab/>
            </w:r>
            <w:r w:rsidRPr="00105D31">
              <w:rPr>
                <w:color w:val="000000" w:themeColor="text1"/>
                <w:u w:val="single"/>
              </w:rPr>
              <w:t>konkrétní opatření ke zvýšení atraktivity oblasti jako místa pro výrobní činnosti</w:t>
            </w:r>
            <w:r w:rsidRPr="00105D31">
              <w:rPr>
                <w:color w:val="000000" w:themeColor="text1"/>
              </w:rPr>
              <w:t xml:space="preserve"> a</w:t>
            </w:r>
          </w:p>
          <w:p w14:paraId="353232B2" w14:textId="77777777" w:rsidR="00105D31" w:rsidRPr="00105D31" w:rsidRDefault="00105D31" w:rsidP="00105D31">
            <w:pPr>
              <w:spacing w:line="259" w:lineRule="auto"/>
              <w:jc w:val="both"/>
              <w:rPr>
                <w:color w:val="000000" w:themeColor="text1"/>
              </w:rPr>
            </w:pPr>
            <w:r w:rsidRPr="00105D31">
              <w:rPr>
                <w:color w:val="000000" w:themeColor="text1"/>
              </w:rPr>
              <w:t>d)</w:t>
            </w:r>
            <w:r w:rsidRPr="00105D31">
              <w:rPr>
                <w:color w:val="000000" w:themeColor="text1"/>
              </w:rPr>
              <w:tab/>
            </w:r>
            <w:r w:rsidRPr="00105D31">
              <w:rPr>
                <w:color w:val="000000" w:themeColor="text1"/>
                <w:u w:val="single"/>
              </w:rPr>
              <w:t>strategické přínosy oblasti</w:t>
            </w:r>
            <w:r w:rsidRPr="00105D31">
              <w:rPr>
                <w:color w:val="000000" w:themeColor="text1"/>
              </w:rPr>
              <w:t>.</w:t>
            </w:r>
          </w:p>
          <w:p w14:paraId="05142B91" w14:textId="5ACFDA93" w:rsidR="00187874" w:rsidRPr="00366FF5" w:rsidRDefault="00105D31" w:rsidP="00366FF5">
            <w:pPr>
              <w:spacing w:line="259" w:lineRule="auto"/>
              <w:jc w:val="both"/>
              <w:rPr>
                <w:color w:val="000000" w:themeColor="text1"/>
              </w:rPr>
            </w:pPr>
            <w:r w:rsidRPr="00105D31">
              <w:rPr>
                <w:color w:val="000000" w:themeColor="text1"/>
              </w:rPr>
              <w:t>(3)</w:t>
            </w:r>
            <w:r w:rsidRPr="00105D31">
              <w:rPr>
                <w:color w:val="000000" w:themeColor="text1"/>
              </w:rPr>
              <w:tab/>
            </w:r>
            <w:r w:rsidRPr="00105D31">
              <w:rPr>
                <w:color w:val="000000" w:themeColor="text1"/>
                <w:u w:val="single"/>
              </w:rPr>
              <w:t>Přijetí rozhodnutí o určení oblasti jako údolí může být učiněno pouze v případě, že byly splněny podmínky uvedené v nařízení Evropského parlamentu a Rady (EU) 2024/1735</w:t>
            </w:r>
            <w:r w:rsidRPr="00105D31">
              <w:rPr>
                <w:color w:val="000000" w:themeColor="text1"/>
              </w:rPr>
              <w:t>.</w:t>
            </w:r>
          </w:p>
        </w:tc>
        <w:tc>
          <w:tcPr>
            <w:tcW w:w="542" w:type="pct"/>
            <w:shd w:val="clear" w:color="auto" w:fill="auto"/>
            <w:tcMar>
              <w:top w:w="57" w:type="dxa"/>
              <w:bottom w:w="57" w:type="dxa"/>
            </w:tcMar>
          </w:tcPr>
          <w:p w14:paraId="71D81AC9" w14:textId="21104AF9"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A888B4E" w14:textId="742CA50D" w:rsidR="00187874" w:rsidRDefault="00187874" w:rsidP="00187874">
            <w:r>
              <w:t>Čl. 17 odst. 3</w:t>
            </w:r>
          </w:p>
        </w:tc>
        <w:tc>
          <w:tcPr>
            <w:tcW w:w="1753" w:type="pct"/>
            <w:shd w:val="clear" w:color="auto" w:fill="auto"/>
            <w:tcMar>
              <w:top w:w="57" w:type="dxa"/>
              <w:bottom w:w="57" w:type="dxa"/>
            </w:tcMar>
          </w:tcPr>
          <w:p w14:paraId="07DE1087" w14:textId="77777777" w:rsidR="00187874" w:rsidRDefault="00187874" w:rsidP="00187874">
            <w:pPr>
              <w:spacing w:line="259" w:lineRule="auto"/>
              <w:jc w:val="both"/>
            </w:pPr>
            <w:r>
              <w:t>3. Rozhodnutí členského státu určit údolí je doprovázeno plánem, který stanoví konkrétní vnitrostátní opatření ke zvýšení jeho atraktivity jakožto oblasti pro výrobní činnosti, zahrnující alespoň tyto režimy hospodářské a administrativní podpory s cílem:</w:t>
            </w:r>
          </w:p>
          <w:p w14:paraId="6D2CC4F6" w14:textId="77777777" w:rsidR="00187874" w:rsidRDefault="00187874" w:rsidP="00187874">
            <w:pPr>
              <w:spacing w:line="259" w:lineRule="auto"/>
              <w:jc w:val="both"/>
            </w:pPr>
            <w:r>
              <w:t>a) usnadnit rozvoj potřebné infrastruktury v daném údolí;</w:t>
            </w:r>
          </w:p>
          <w:p w14:paraId="698CFADD" w14:textId="77777777" w:rsidR="00187874" w:rsidRDefault="00187874" w:rsidP="00187874">
            <w:pPr>
              <w:spacing w:line="259" w:lineRule="auto"/>
              <w:jc w:val="both"/>
            </w:pPr>
            <w:r>
              <w:t>b) podpořit soukromé investice do daného údolí;</w:t>
            </w:r>
          </w:p>
          <w:p w14:paraId="6080E6E5" w14:textId="77777777" w:rsidR="00187874" w:rsidRDefault="00187874" w:rsidP="00187874">
            <w:pPr>
              <w:spacing w:line="259" w:lineRule="auto"/>
              <w:jc w:val="both"/>
            </w:pPr>
            <w:r>
              <w:t>c) dosáhnout potřebné rekvalifikace a zvyšování kvalifikace místní pracovní síly;</w:t>
            </w:r>
          </w:p>
          <w:p w14:paraId="3354F399" w14:textId="4C26CDA3" w:rsidR="00187874" w:rsidRPr="00D0552E" w:rsidRDefault="00187874" w:rsidP="00187874">
            <w:pPr>
              <w:spacing w:line="259" w:lineRule="auto"/>
              <w:jc w:val="both"/>
            </w:pPr>
            <w:r>
              <w:t>d) zpřístupnit informace o daném údolí online v souladu s článkem 7.</w:t>
            </w:r>
          </w:p>
        </w:tc>
      </w:tr>
      <w:tr w:rsidR="00187874" w14:paraId="5B68F20B" w14:textId="77777777" w:rsidTr="00A267C2">
        <w:trPr>
          <w:trHeight w:val="300"/>
        </w:trPr>
        <w:tc>
          <w:tcPr>
            <w:tcW w:w="525" w:type="pct"/>
            <w:shd w:val="clear" w:color="auto" w:fill="auto"/>
            <w:tcMar>
              <w:top w:w="57" w:type="dxa"/>
              <w:bottom w:w="57" w:type="dxa"/>
            </w:tcMar>
          </w:tcPr>
          <w:p w14:paraId="3D273028" w14:textId="07E7A223" w:rsidR="00A108D9" w:rsidRDefault="00105D31" w:rsidP="00187874">
            <w:pPr>
              <w:spacing w:line="259" w:lineRule="auto"/>
              <w:jc w:val="both"/>
            </w:pPr>
            <w:r>
              <w:lastRenderedPageBreak/>
              <w:t>§ 3 odst. 2</w:t>
            </w:r>
          </w:p>
        </w:tc>
        <w:tc>
          <w:tcPr>
            <w:tcW w:w="1693" w:type="pct"/>
            <w:shd w:val="clear" w:color="auto" w:fill="auto"/>
            <w:tcMar>
              <w:top w:w="57" w:type="dxa"/>
              <w:bottom w:w="57" w:type="dxa"/>
            </w:tcMar>
          </w:tcPr>
          <w:p w14:paraId="236F36B0" w14:textId="0CBE556B" w:rsidR="00187874" w:rsidRDefault="00105D31" w:rsidP="00187874">
            <w:pPr>
              <w:spacing w:line="259" w:lineRule="auto"/>
              <w:jc w:val="both"/>
              <w:rPr>
                <w:color w:val="FF0000"/>
              </w:rPr>
            </w:pPr>
            <w:r w:rsidRPr="00105D31">
              <w:rPr>
                <w:color w:val="000000" w:themeColor="text1"/>
              </w:rPr>
              <w:t>(2)</w:t>
            </w:r>
            <w:r w:rsidRPr="00105D31">
              <w:rPr>
                <w:color w:val="000000" w:themeColor="text1"/>
              </w:rPr>
              <w:tab/>
            </w:r>
            <w:r w:rsidRPr="00105D31">
              <w:rPr>
                <w:color w:val="000000" w:themeColor="text1"/>
                <w:u w:val="single"/>
              </w:rPr>
              <w:t xml:space="preserve">Dopravní a energetický stavební úřad je jednotným kontaktním místem ve smyslu čl. 6 odst. 1 nařízení Evropského parlamentu a Rady (EU) 2024/1735 pro stavby určené k výrobě technologií a komponent pro nulové čisté emise uvedené v seznamu v příloze k nařízení Evropského parlamentu a Rady (EU) 2024/1735které mají být umístěny v lokalitě stanovené v příloze č. 3 zákona o urychlení výstavby strategicky významné infrastruktury a staveb a zařízení, které mají sloužit k ukládání oxidu uhličitého do přírodních horninových struktur nebo k zachytávání oxidu uhličitého, a staveb přepravní sítě určených k </w:t>
            </w:r>
            <w:r w:rsidRPr="00105D31">
              <w:rPr>
                <w:color w:val="000000" w:themeColor="text1"/>
                <w:u w:val="single"/>
              </w:rPr>
              <w:lastRenderedPageBreak/>
              <w:t>přepravě oxidu uhličitého na úložiště oxidu uhličitého.</w:t>
            </w:r>
          </w:p>
        </w:tc>
        <w:tc>
          <w:tcPr>
            <w:tcW w:w="542" w:type="pct"/>
            <w:shd w:val="clear" w:color="auto" w:fill="auto"/>
            <w:tcMar>
              <w:top w:w="57" w:type="dxa"/>
              <w:bottom w:w="57" w:type="dxa"/>
            </w:tcMar>
          </w:tcPr>
          <w:p w14:paraId="7C91D4B3" w14:textId="6E95FD32"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199E445" w14:textId="10EF99EF" w:rsidR="00187874" w:rsidRDefault="00187874" w:rsidP="00187874">
            <w:r>
              <w:t>Čl. 18 odst. 1</w:t>
            </w:r>
          </w:p>
        </w:tc>
        <w:tc>
          <w:tcPr>
            <w:tcW w:w="1753" w:type="pct"/>
            <w:shd w:val="clear" w:color="auto" w:fill="auto"/>
            <w:tcMar>
              <w:top w:w="57" w:type="dxa"/>
              <w:bottom w:w="57" w:type="dxa"/>
            </w:tcMar>
          </w:tcPr>
          <w:p w14:paraId="620DC39A" w14:textId="77777777" w:rsidR="00187874" w:rsidRDefault="00187874" w:rsidP="00187874">
            <w:pPr>
              <w:spacing w:line="259" w:lineRule="auto"/>
              <w:jc w:val="both"/>
            </w:pPr>
            <w:r>
              <w:t>Povolování v rámci údolí</w:t>
            </w:r>
          </w:p>
          <w:p w14:paraId="07D6EDAE" w14:textId="4515E29B" w:rsidR="00187874" w:rsidRDefault="00187874" w:rsidP="00187874">
            <w:pPr>
              <w:spacing w:line="259" w:lineRule="auto"/>
              <w:jc w:val="both"/>
            </w:pPr>
            <w:r>
              <w:t>Na jednotlivé projekty v údolích se použijí oddíly I a II. Pro každé údolí se určí jednotné kontaktní místo.</w:t>
            </w:r>
          </w:p>
        </w:tc>
      </w:tr>
      <w:tr w:rsidR="00187874" w14:paraId="30759827" w14:textId="77777777" w:rsidTr="00A267C2">
        <w:trPr>
          <w:trHeight w:val="300"/>
        </w:trPr>
        <w:tc>
          <w:tcPr>
            <w:tcW w:w="525" w:type="pct"/>
            <w:shd w:val="clear" w:color="auto" w:fill="auto"/>
            <w:tcMar>
              <w:top w:w="57" w:type="dxa"/>
              <w:bottom w:w="57" w:type="dxa"/>
            </w:tcMar>
          </w:tcPr>
          <w:p w14:paraId="23A23740" w14:textId="58EBC326" w:rsidR="00187874" w:rsidRDefault="00105D31" w:rsidP="00A108D9">
            <w:pPr>
              <w:spacing w:line="259" w:lineRule="auto"/>
              <w:jc w:val="both"/>
            </w:pPr>
            <w:r>
              <w:lastRenderedPageBreak/>
              <w:t>§ 3 odst. 2</w:t>
            </w:r>
          </w:p>
        </w:tc>
        <w:tc>
          <w:tcPr>
            <w:tcW w:w="1693" w:type="pct"/>
            <w:shd w:val="clear" w:color="auto" w:fill="auto"/>
            <w:tcMar>
              <w:top w:w="57" w:type="dxa"/>
              <w:bottom w:w="57" w:type="dxa"/>
            </w:tcMar>
          </w:tcPr>
          <w:p w14:paraId="212E4F65" w14:textId="70594470" w:rsidR="00187874" w:rsidRPr="00A108D9" w:rsidRDefault="00105D31" w:rsidP="00187874">
            <w:pPr>
              <w:spacing w:line="259" w:lineRule="auto"/>
              <w:jc w:val="both"/>
              <w:rPr>
                <w:color w:val="FF0000"/>
                <w:u w:val="single"/>
              </w:rPr>
            </w:pPr>
            <w:r w:rsidRPr="00105D31">
              <w:rPr>
                <w:color w:val="000000" w:themeColor="text1"/>
                <w:u w:val="single"/>
              </w:rPr>
              <w:t>(2)</w:t>
            </w:r>
            <w:r w:rsidRPr="00105D31">
              <w:rPr>
                <w:color w:val="000000" w:themeColor="text1"/>
                <w:u w:val="single"/>
              </w:rPr>
              <w:tab/>
              <w:t xml:space="preserve">Dopravní a energetický </w:t>
            </w:r>
            <w:bookmarkStart w:id="2" w:name="_GoBack"/>
            <w:r w:rsidRPr="00105D31">
              <w:rPr>
                <w:color w:val="000000" w:themeColor="text1"/>
                <w:u w:val="single"/>
              </w:rPr>
              <w:t>stavební</w:t>
            </w:r>
            <w:bookmarkEnd w:id="2"/>
            <w:r w:rsidRPr="00105D31">
              <w:rPr>
                <w:color w:val="000000" w:themeColor="text1"/>
                <w:u w:val="single"/>
              </w:rPr>
              <w:t xml:space="preserve"> úřad je jednotným kontaktním místem ve smyslu čl. 6 odst. 1 nařízení Evropského parlamentu a Rady (EU) 2024/1735 pro stavby určené k výrobě technologií a komponent pro nulové čisté emise uvedené v seznamu v příloze k nařízení Evropského parlamentu a Rady (EU) 2024/1735které mají být umístěny v lokalitě stanovené v příloze č. 3 zákona o urychlení výstavby strategicky významné infrastruktury a staveb a zařízení, které mají sloužit k ukládání oxidu uhličitého do přírodních horninových struktur nebo k zachytávání oxidu uhličitého, a staveb přepravní sítě určených k přepravě oxidu uhličitého na úložiště oxidu uhličitého.</w:t>
            </w:r>
          </w:p>
        </w:tc>
        <w:tc>
          <w:tcPr>
            <w:tcW w:w="542" w:type="pct"/>
            <w:shd w:val="clear" w:color="auto" w:fill="auto"/>
            <w:tcMar>
              <w:top w:w="57" w:type="dxa"/>
              <w:bottom w:w="57" w:type="dxa"/>
            </w:tcMar>
          </w:tcPr>
          <w:p w14:paraId="08A89190" w14:textId="4061C446" w:rsidR="00187874" w:rsidRPr="007F64B4" w:rsidRDefault="00187874" w:rsidP="00187874">
            <w:pPr>
              <w:rPr>
                <w:color w:val="000000" w:themeColor="text1"/>
                <w:shd w:val="clear" w:color="auto" w:fill="FFFFFF"/>
              </w:rPr>
            </w:pPr>
            <w:r w:rsidRPr="007F64B4">
              <w:rPr>
                <w:color w:val="000000" w:themeColor="text1"/>
                <w:shd w:val="clear" w:color="auto" w:fill="FFFFFF"/>
              </w:rPr>
              <w:t>32024R1735</w:t>
            </w:r>
          </w:p>
        </w:tc>
        <w:tc>
          <w:tcPr>
            <w:tcW w:w="487" w:type="pct"/>
            <w:shd w:val="clear" w:color="auto" w:fill="auto"/>
            <w:tcMar>
              <w:top w:w="57" w:type="dxa"/>
              <w:bottom w:w="57" w:type="dxa"/>
            </w:tcMar>
          </w:tcPr>
          <w:p w14:paraId="45E4F9CF" w14:textId="255B09D2" w:rsidR="00187874" w:rsidRDefault="00187874" w:rsidP="00187874">
            <w:r>
              <w:t>Čl. 18 odst. 3</w:t>
            </w:r>
          </w:p>
        </w:tc>
        <w:tc>
          <w:tcPr>
            <w:tcW w:w="1753" w:type="pct"/>
            <w:shd w:val="clear" w:color="auto" w:fill="auto"/>
            <w:tcMar>
              <w:top w:w="57" w:type="dxa"/>
              <w:bottom w:w="57" w:type="dxa"/>
            </w:tcMar>
          </w:tcPr>
          <w:p w14:paraId="7C505263" w14:textId="2F9E2DC1" w:rsidR="00187874" w:rsidRDefault="00187874" w:rsidP="00187874">
            <w:pPr>
              <w:spacing w:line="259" w:lineRule="auto"/>
              <w:jc w:val="both"/>
            </w:pPr>
            <w:r w:rsidRPr="00357AAA">
              <w:t>3. Jednotné kontaktní místo zpřístupní předkladatelům projektů šablony, v nichž jsou uvedena konkrétní povolení, která jsou pro projekty v údolích potřebná. Tyto šablony obsahují informace o všech rysech projektu a plánovaných opatřeních k zamezení nebo prevenci významných nepříznivých vlivů na životní prostředí s cílem zajistit, aby posouzení podle směrnice 2011/92/EU podléhaly pouze projekty s významnými dopady na životní prostředí, a pomoci příslušnému orgánu snáze určit, zda má daný projekt podléhat posouzení podle čl. 4 odst. 2 až 6 uvedené směrnice.</w:t>
            </w:r>
          </w:p>
        </w:tc>
      </w:tr>
      <w:tr w:rsidR="007F64B4" w14:paraId="17969C8F" w14:textId="77777777" w:rsidTr="00A267C2">
        <w:trPr>
          <w:trHeight w:val="300"/>
        </w:trPr>
        <w:tc>
          <w:tcPr>
            <w:tcW w:w="525" w:type="pct"/>
            <w:shd w:val="clear" w:color="auto" w:fill="auto"/>
            <w:tcMar>
              <w:top w:w="57" w:type="dxa"/>
              <w:bottom w:w="57" w:type="dxa"/>
            </w:tcMar>
          </w:tcPr>
          <w:p w14:paraId="6CBDE54F" w14:textId="56F76BFC" w:rsidR="007F64B4" w:rsidRDefault="007F64B4" w:rsidP="00A108D9">
            <w:pPr>
              <w:spacing w:line="259" w:lineRule="auto"/>
              <w:jc w:val="both"/>
            </w:pPr>
            <w:r>
              <w:t xml:space="preserve">§ </w:t>
            </w:r>
            <w:r w:rsidR="00D71263">
              <w:t>6</w:t>
            </w:r>
            <w:r>
              <w:t xml:space="preserve"> odst. 1</w:t>
            </w:r>
          </w:p>
        </w:tc>
        <w:tc>
          <w:tcPr>
            <w:tcW w:w="1693" w:type="pct"/>
            <w:shd w:val="clear" w:color="auto" w:fill="auto"/>
            <w:tcMar>
              <w:top w:w="57" w:type="dxa"/>
              <w:bottom w:w="57" w:type="dxa"/>
            </w:tcMar>
          </w:tcPr>
          <w:p w14:paraId="4C12EE20" w14:textId="66DB94F6" w:rsidR="007F64B4" w:rsidRPr="00A108D9" w:rsidRDefault="003F53CD" w:rsidP="00187874">
            <w:pPr>
              <w:spacing w:line="259" w:lineRule="auto"/>
              <w:jc w:val="both"/>
              <w:rPr>
                <w:color w:val="000000" w:themeColor="text1"/>
                <w:u w:val="single"/>
              </w:rPr>
            </w:pPr>
            <w:r w:rsidRPr="003F53CD">
              <w:rPr>
                <w:color w:val="000000" w:themeColor="text1"/>
                <w:u w:val="single"/>
              </w:rPr>
              <w:t>(1)</w:t>
            </w:r>
            <w:r w:rsidRPr="003F53CD">
              <w:rPr>
                <w:color w:val="000000" w:themeColor="text1"/>
                <w:u w:val="single"/>
              </w:rPr>
              <w:tab/>
              <w:t>Ministerstvo životního prostředí poskytuje informace v rozsahu a v termínech podle čl. 21 odst. 1 nařízení Evropského parlamentu a Rady (EU) 2024/1735.</w:t>
            </w:r>
          </w:p>
        </w:tc>
        <w:tc>
          <w:tcPr>
            <w:tcW w:w="542" w:type="pct"/>
            <w:shd w:val="clear" w:color="auto" w:fill="auto"/>
            <w:tcMar>
              <w:top w:w="57" w:type="dxa"/>
              <w:bottom w:w="57" w:type="dxa"/>
            </w:tcMar>
          </w:tcPr>
          <w:p w14:paraId="0D462728" w14:textId="77777777" w:rsidR="007F64B4" w:rsidRPr="00163132" w:rsidRDefault="007F64B4" w:rsidP="00187874">
            <w:pPr>
              <w:rPr>
                <w:color w:val="333333"/>
                <w:shd w:val="clear" w:color="auto" w:fill="FFFFFF"/>
              </w:rPr>
            </w:pPr>
          </w:p>
        </w:tc>
        <w:tc>
          <w:tcPr>
            <w:tcW w:w="487" w:type="pct"/>
            <w:shd w:val="clear" w:color="auto" w:fill="auto"/>
            <w:tcMar>
              <w:top w:w="57" w:type="dxa"/>
              <w:bottom w:w="57" w:type="dxa"/>
            </w:tcMar>
          </w:tcPr>
          <w:p w14:paraId="5758E1BA" w14:textId="4A15ACEB" w:rsidR="007F64B4" w:rsidRDefault="007F64B4" w:rsidP="00187874">
            <w:r>
              <w:t xml:space="preserve">Čl. 21 odst. 1 </w:t>
            </w:r>
          </w:p>
        </w:tc>
        <w:tc>
          <w:tcPr>
            <w:tcW w:w="1753" w:type="pct"/>
            <w:shd w:val="clear" w:color="auto" w:fill="auto"/>
            <w:tcMar>
              <w:top w:w="57" w:type="dxa"/>
              <w:bottom w:w="57" w:type="dxa"/>
            </w:tcMar>
          </w:tcPr>
          <w:p w14:paraId="25C8FD51" w14:textId="77777777" w:rsidR="003F53CD" w:rsidRDefault="003F53CD" w:rsidP="003F53CD">
            <w:pPr>
              <w:spacing w:line="259" w:lineRule="auto"/>
              <w:jc w:val="both"/>
            </w:pPr>
            <w:r>
              <w:t>Do 30. prosince 2024 členské státy:</w:t>
            </w:r>
          </w:p>
          <w:p w14:paraId="2AAACDD7" w14:textId="77777777" w:rsidR="003F53CD" w:rsidRDefault="003F53CD" w:rsidP="003F53CD">
            <w:pPr>
              <w:spacing w:line="259" w:lineRule="auto"/>
              <w:jc w:val="both"/>
            </w:pPr>
            <w:r>
              <w:t>a)</w:t>
            </w:r>
          </w:p>
          <w:p w14:paraId="75A77A88" w14:textId="77777777" w:rsidR="003F53CD" w:rsidRDefault="003F53CD" w:rsidP="003F53CD">
            <w:pPr>
              <w:spacing w:line="259" w:lineRule="auto"/>
              <w:jc w:val="both"/>
            </w:pPr>
            <w:r>
              <w:t>zpřístupní veřejnosti údaje o všech oblastech, v nichž by mohla být na jejich území povolena úložiště CO2, včetně slaných akviferů, aniž jsou dotčeny požadavky týkající se ochrany důvěrných informací;</w:t>
            </w:r>
          </w:p>
          <w:p w14:paraId="3514B3E9" w14:textId="77777777" w:rsidR="003F53CD" w:rsidRDefault="003F53CD" w:rsidP="003F53CD">
            <w:pPr>
              <w:spacing w:line="259" w:lineRule="auto"/>
              <w:jc w:val="both"/>
            </w:pPr>
            <w:r>
              <w:t>b)</w:t>
            </w:r>
          </w:p>
          <w:p w14:paraId="7646B8E6" w14:textId="77777777" w:rsidR="003F53CD" w:rsidRDefault="003F53CD" w:rsidP="003F53CD">
            <w:pPr>
              <w:spacing w:line="259" w:lineRule="auto"/>
              <w:jc w:val="both"/>
            </w:pPr>
            <w:r>
              <w:t xml:space="preserve">uloží subjektům, které na jejich území jsou nebo byly držiteli povolení ve smyslu čl. 1 bodu 3 směrnice Evropského parlamentu a Rady </w:t>
            </w:r>
            <w:r>
              <w:lastRenderedPageBreak/>
              <w:t>94/22/ES (55), povinnost zpřístupnit veřejnosti na základě nepoužití geologická data týkající se těžebních lokalit, které byly vyřazeny z provozu nebo jejichž vyřazení z provozu bylo oznámeno příslušnému orgánu, a ekonomická posouzení příslušných nákladů na umožnění vtláčení CO2, pokud jsou k dispozici, ledaže daný subjekt požádal o povolení k průzkumu v souladu se směrnicí 2009/31/ES, včetně následujících údajů:</w:t>
            </w:r>
          </w:p>
          <w:p w14:paraId="123045CB" w14:textId="77777777" w:rsidR="003F53CD" w:rsidRDefault="003F53CD" w:rsidP="003F53CD">
            <w:pPr>
              <w:spacing w:line="259" w:lineRule="auto"/>
              <w:jc w:val="both"/>
            </w:pPr>
            <w:r>
              <w:t>i)</w:t>
            </w:r>
          </w:p>
          <w:p w14:paraId="60F2487F" w14:textId="77777777" w:rsidR="003F53CD" w:rsidRDefault="003F53CD" w:rsidP="003F53CD">
            <w:pPr>
              <w:spacing w:line="259" w:lineRule="auto"/>
              <w:jc w:val="both"/>
            </w:pPr>
            <w:r>
              <w:t>zda je lokalita vhodná k udržitelnému, bezpečnému a trvalému vtláčení a ukládání CO2;</w:t>
            </w:r>
          </w:p>
          <w:p w14:paraId="49D4227A" w14:textId="77777777" w:rsidR="003F53CD" w:rsidRDefault="003F53CD" w:rsidP="003F53CD">
            <w:pPr>
              <w:spacing w:line="259" w:lineRule="auto"/>
              <w:jc w:val="both"/>
            </w:pPr>
            <w:r>
              <w:t>ii)</w:t>
            </w:r>
          </w:p>
          <w:p w14:paraId="6A3B8333" w14:textId="77777777" w:rsidR="003F53CD" w:rsidRDefault="003F53CD" w:rsidP="003F53CD">
            <w:pPr>
              <w:spacing w:line="259" w:lineRule="auto"/>
              <w:jc w:val="both"/>
            </w:pPr>
            <w:r>
              <w:t>zda je dostupná nebo potřebná dopravní infrastruktura a způsoby dopravy vhodné pro bezpečnou přepravu CO2 do místa.</w:t>
            </w:r>
          </w:p>
          <w:p w14:paraId="07D87F41" w14:textId="0825366A" w:rsidR="007F64B4" w:rsidRPr="00357AAA" w:rsidRDefault="003F53CD" w:rsidP="003F53CD">
            <w:pPr>
              <w:spacing w:line="259" w:lineRule="auto"/>
              <w:jc w:val="both"/>
            </w:pPr>
            <w:r>
              <w:t>Pro účely prvního pododstavce, písm. a) tohoto odstavce zahrnují údaje alespoň informace požadované ve sděleních Komise o pokynech pro členské státy k integrovaným vnitrostátním plánům v oblasti energetiky a klimatu oznámeným podle čl. 3 odst. 1 nařízení (EU) 2018/1999 a k jejich aktualizacím odeslaným podle článku 14 uvedeného nařízení (vnitrostátní plány v oblasti energetiky a klimatu). .</w:t>
            </w:r>
          </w:p>
        </w:tc>
      </w:tr>
      <w:tr w:rsidR="00187874" w14:paraId="44C663C9" w14:textId="77777777" w:rsidTr="00A267C2">
        <w:trPr>
          <w:trHeight w:val="300"/>
        </w:trPr>
        <w:tc>
          <w:tcPr>
            <w:tcW w:w="525" w:type="pct"/>
            <w:shd w:val="clear" w:color="auto" w:fill="auto"/>
            <w:tcMar>
              <w:top w:w="57" w:type="dxa"/>
              <w:bottom w:w="57" w:type="dxa"/>
            </w:tcMar>
          </w:tcPr>
          <w:p w14:paraId="07F64E64" w14:textId="03183EC2" w:rsidR="00187874" w:rsidRDefault="003E1244" w:rsidP="00187874">
            <w:pPr>
              <w:spacing w:line="259" w:lineRule="auto"/>
              <w:jc w:val="both"/>
            </w:pPr>
            <w:r>
              <w:lastRenderedPageBreak/>
              <w:t xml:space="preserve">§ </w:t>
            </w:r>
            <w:r w:rsidR="00CF6270">
              <w:t>6</w:t>
            </w:r>
            <w:r>
              <w:t xml:space="preserve"> odst. 3</w:t>
            </w:r>
          </w:p>
        </w:tc>
        <w:tc>
          <w:tcPr>
            <w:tcW w:w="1693" w:type="pct"/>
            <w:shd w:val="clear" w:color="auto" w:fill="auto"/>
            <w:tcMar>
              <w:top w:w="57" w:type="dxa"/>
              <w:bottom w:w="57" w:type="dxa"/>
            </w:tcMar>
          </w:tcPr>
          <w:p w14:paraId="0F2A0702" w14:textId="646D469E" w:rsidR="00187874" w:rsidRPr="003E1244" w:rsidRDefault="003E1244" w:rsidP="00187874">
            <w:pPr>
              <w:spacing w:line="259" w:lineRule="auto"/>
              <w:jc w:val="both"/>
              <w:rPr>
                <w:color w:val="000000" w:themeColor="text1"/>
              </w:rPr>
            </w:pPr>
            <w:r w:rsidRPr="003E1244">
              <w:rPr>
                <w:color w:val="000000" w:themeColor="text1"/>
              </w:rPr>
              <w:t>(3)</w:t>
            </w:r>
            <w:r w:rsidRPr="003E1244">
              <w:rPr>
                <w:color w:val="000000" w:themeColor="text1"/>
              </w:rPr>
              <w:tab/>
            </w:r>
            <w:r w:rsidRPr="003E1244">
              <w:rPr>
                <w:color w:val="000000" w:themeColor="text1"/>
                <w:u w:val="single"/>
              </w:rPr>
              <w:t xml:space="preserve">Ministerstvo životního prostředí na základě činností podle odstavce 2 zpracovává zprávu o kapacitě pro ukládání oxidu </w:t>
            </w:r>
            <w:r w:rsidRPr="003E1244">
              <w:rPr>
                <w:color w:val="000000" w:themeColor="text1"/>
                <w:u w:val="single"/>
              </w:rPr>
              <w:lastRenderedPageBreak/>
              <w:t>uhličitého v rozsahu a v termínech podle čl. 21 nařízení Evropského parlamentu a Rady (EU) 2024/1735.</w:t>
            </w:r>
          </w:p>
        </w:tc>
        <w:tc>
          <w:tcPr>
            <w:tcW w:w="542" w:type="pct"/>
            <w:shd w:val="clear" w:color="auto" w:fill="auto"/>
            <w:tcMar>
              <w:top w:w="57" w:type="dxa"/>
              <w:bottom w:w="57" w:type="dxa"/>
            </w:tcMar>
          </w:tcPr>
          <w:p w14:paraId="5A5B7F70" w14:textId="2832B25A" w:rsidR="00187874" w:rsidRPr="00163132" w:rsidRDefault="00187874" w:rsidP="00187874">
            <w:pPr>
              <w:rPr>
                <w:color w:val="333333"/>
                <w:shd w:val="clear" w:color="auto" w:fill="FFFFFF"/>
              </w:rPr>
            </w:pPr>
            <w:r w:rsidRPr="007F64B4">
              <w:rPr>
                <w:color w:val="000000" w:themeColor="text1"/>
                <w:shd w:val="clear" w:color="auto" w:fill="FFFFFF"/>
              </w:rPr>
              <w:lastRenderedPageBreak/>
              <w:t>32024R1735</w:t>
            </w:r>
          </w:p>
        </w:tc>
        <w:tc>
          <w:tcPr>
            <w:tcW w:w="487" w:type="pct"/>
            <w:shd w:val="clear" w:color="auto" w:fill="auto"/>
            <w:tcMar>
              <w:top w:w="57" w:type="dxa"/>
              <w:bottom w:w="57" w:type="dxa"/>
            </w:tcMar>
          </w:tcPr>
          <w:p w14:paraId="0334CFDF" w14:textId="36FD4BDC" w:rsidR="00187874" w:rsidRDefault="00187874" w:rsidP="00187874">
            <w:r>
              <w:t>Čl. 21 odst. 2</w:t>
            </w:r>
          </w:p>
        </w:tc>
        <w:tc>
          <w:tcPr>
            <w:tcW w:w="1753" w:type="pct"/>
            <w:shd w:val="clear" w:color="auto" w:fill="auto"/>
            <w:tcMar>
              <w:top w:w="57" w:type="dxa"/>
              <w:bottom w:w="57" w:type="dxa"/>
            </w:tcMar>
          </w:tcPr>
          <w:p w14:paraId="39C5D26D" w14:textId="77777777" w:rsidR="00187874" w:rsidRDefault="00187874" w:rsidP="00187874">
            <w:pPr>
              <w:spacing w:line="259" w:lineRule="auto"/>
              <w:jc w:val="both"/>
            </w:pPr>
            <w:r>
              <w:t xml:space="preserve">2. Do 30. prosince 2024 a poté každý rok předloží každý členský stát Komisi zprávu, kterou zveřejní, aniž jsou dotčeny požadavky </w:t>
            </w:r>
            <w:r>
              <w:lastRenderedPageBreak/>
              <w:t>týkající se ochrany důvěrných informací, a která popisuje:</w:t>
            </w:r>
          </w:p>
          <w:p w14:paraId="7526808D" w14:textId="77777777" w:rsidR="00187874" w:rsidRDefault="00187874" w:rsidP="00187874">
            <w:pPr>
              <w:spacing w:line="259" w:lineRule="auto"/>
              <w:jc w:val="both"/>
            </w:pPr>
            <w:r>
              <w:t>a) mapování probíhajících projektů zachycování CO2 na jeho území nebo ve spolupráci s jinými členskými státy a odhad odpovídajících potřeb vtláčecích a úložných kapacit a přepravy CO2;</w:t>
            </w:r>
          </w:p>
          <w:p w14:paraId="611EA312" w14:textId="77777777" w:rsidR="00187874" w:rsidRDefault="00187874" w:rsidP="00187874">
            <w:pPr>
              <w:spacing w:line="259" w:lineRule="auto"/>
              <w:jc w:val="both"/>
            </w:pPr>
            <w:r>
              <w:t>b) mapování probíhajících projektů v oblasti ukládání a přepravy CO2 probíhající na jeho území, včetně stavu udělování povolení podle směrnice 2009/31/ES, očekávaných termínů konečného rozhodnutí o investici a uvedení do provozu;</w:t>
            </w:r>
          </w:p>
          <w:p w14:paraId="6F62E17F" w14:textId="77777777" w:rsidR="00187874" w:rsidRDefault="00187874" w:rsidP="00187874">
            <w:pPr>
              <w:spacing w:line="259" w:lineRule="auto"/>
              <w:jc w:val="both"/>
            </w:pPr>
            <w:r>
              <w:t>c) vnitrostátní podpůrná opatření, která byla nebo budou přijata za účelem urychlení projektů uvedených v písmenech a) a b) tohoto odstavce, jakož i opatření týkající se přeshraniční přepravy CO2;</w:t>
            </w:r>
          </w:p>
          <w:p w14:paraId="3F71BDEC" w14:textId="77777777" w:rsidR="00187874" w:rsidRDefault="00187874" w:rsidP="00187874">
            <w:pPr>
              <w:spacing w:line="259" w:lineRule="auto"/>
              <w:jc w:val="both"/>
            </w:pPr>
            <w:r>
              <w:t>d) případně vnitrostátní strategii a cíle, které budou a byly stanoveny v oblasti zachycování CO2 do roku 2030;</w:t>
            </w:r>
          </w:p>
          <w:p w14:paraId="098FD916" w14:textId="77777777" w:rsidR="00187874" w:rsidRDefault="00187874" w:rsidP="00187874">
            <w:pPr>
              <w:spacing w:line="259" w:lineRule="auto"/>
              <w:jc w:val="both"/>
            </w:pPr>
            <w:r>
              <w:t>e) dvoustrannou a regionální spolupráci, která usnadňuje přeshraniční přepravu CO2, včetně jejích dopadů na přístup subjektů zachycujících CO2 k bezpečnému a nediskriminačnímu prostředku pro přepravu CO2;</w:t>
            </w:r>
          </w:p>
          <w:p w14:paraId="1C174BDF" w14:textId="6E87C601" w:rsidR="00187874" w:rsidRPr="00357AAA" w:rsidRDefault="00187874" w:rsidP="00187874">
            <w:pPr>
              <w:spacing w:line="259" w:lineRule="auto"/>
              <w:jc w:val="both"/>
            </w:pPr>
            <w:r>
              <w:t>f) probíhající projekty v oblasti přepravy CO2 a odhad potřebné budoucí kapacity projektů v oblasti přepravy CO2 tak, aby vyhovovaly odpovídající kapacitě zachycování a ukládání;</w:t>
            </w:r>
          </w:p>
        </w:tc>
      </w:tr>
      <w:tr w:rsidR="00187874" w14:paraId="68355EF2" w14:textId="77777777" w:rsidTr="00A267C2">
        <w:trPr>
          <w:trHeight w:val="300"/>
        </w:trPr>
        <w:tc>
          <w:tcPr>
            <w:tcW w:w="525" w:type="pct"/>
            <w:shd w:val="clear" w:color="auto" w:fill="auto"/>
            <w:tcMar>
              <w:top w:w="57" w:type="dxa"/>
              <w:bottom w:w="57" w:type="dxa"/>
            </w:tcMar>
          </w:tcPr>
          <w:p w14:paraId="2DD66916" w14:textId="310CA4D8" w:rsidR="00187874" w:rsidRDefault="003E1244" w:rsidP="00187874">
            <w:pPr>
              <w:spacing w:line="259" w:lineRule="auto"/>
              <w:jc w:val="both"/>
            </w:pPr>
            <w:r>
              <w:lastRenderedPageBreak/>
              <w:t xml:space="preserve">§ </w:t>
            </w:r>
            <w:r w:rsidR="001D3D3C">
              <w:t>6</w:t>
            </w:r>
            <w:r>
              <w:t xml:space="preserve"> odst. 3</w:t>
            </w:r>
          </w:p>
        </w:tc>
        <w:tc>
          <w:tcPr>
            <w:tcW w:w="1693" w:type="pct"/>
            <w:shd w:val="clear" w:color="auto" w:fill="auto"/>
            <w:tcMar>
              <w:top w:w="57" w:type="dxa"/>
              <w:bottom w:w="57" w:type="dxa"/>
            </w:tcMar>
          </w:tcPr>
          <w:p w14:paraId="158A419E" w14:textId="366221A1" w:rsidR="00187874" w:rsidRPr="00E15AA0" w:rsidRDefault="003E1244" w:rsidP="00187874">
            <w:pPr>
              <w:spacing w:line="259" w:lineRule="auto"/>
              <w:jc w:val="both"/>
              <w:rPr>
                <w:color w:val="538135" w:themeColor="accent6" w:themeShade="BF"/>
              </w:rPr>
            </w:pPr>
            <w:r w:rsidRPr="003E1244">
              <w:rPr>
                <w:color w:val="000000" w:themeColor="text1"/>
              </w:rPr>
              <w:t>(3)</w:t>
            </w:r>
            <w:r w:rsidRPr="003E1244">
              <w:rPr>
                <w:color w:val="000000" w:themeColor="text1"/>
              </w:rPr>
              <w:tab/>
            </w:r>
            <w:r w:rsidRPr="003E1244">
              <w:rPr>
                <w:color w:val="000000" w:themeColor="text1"/>
                <w:u w:val="single"/>
              </w:rPr>
              <w:t>Ministerstvo životního prostředí na základě činností podle odstavce 2 zpracovává zprávu o kapacitě pro ukládání oxidu uhličitého v rozsahu a v termínech podle čl. 21 nařízení Evropského parlamentu a Rady (EU) 2024/1735.</w:t>
            </w:r>
          </w:p>
        </w:tc>
        <w:tc>
          <w:tcPr>
            <w:tcW w:w="542" w:type="pct"/>
            <w:shd w:val="clear" w:color="auto" w:fill="auto"/>
            <w:tcMar>
              <w:top w:w="57" w:type="dxa"/>
              <w:bottom w:w="57" w:type="dxa"/>
            </w:tcMar>
          </w:tcPr>
          <w:p w14:paraId="74040EF4" w14:textId="2EBB3BA7"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5ABEAE8F" w14:textId="20A8E63C" w:rsidR="00187874" w:rsidRDefault="00187874" w:rsidP="00187874">
            <w:r>
              <w:t>Čl. 21 odst. 3</w:t>
            </w:r>
          </w:p>
        </w:tc>
        <w:tc>
          <w:tcPr>
            <w:tcW w:w="1753" w:type="pct"/>
            <w:shd w:val="clear" w:color="auto" w:fill="auto"/>
            <w:tcMar>
              <w:top w:w="57" w:type="dxa"/>
              <w:bottom w:w="57" w:type="dxa"/>
            </w:tcMar>
          </w:tcPr>
          <w:p w14:paraId="603B90F8" w14:textId="18943389" w:rsidR="00187874" w:rsidRDefault="00187874" w:rsidP="00187874">
            <w:pPr>
              <w:spacing w:line="259" w:lineRule="auto"/>
              <w:jc w:val="both"/>
            </w:pPr>
            <w:r w:rsidRPr="00E15AA0">
              <w:t>3. Pokud ze zprávy uvedené v odstavci 2 vyplývá, že na jejich území neprobíhají žádné projekty ukládání CO2, podají členské státy zprávu o plánech na usnadnění dekarbonizace průmyslových odvětví. To v příslušných případech zahrnuje přeshraniční přepravu CO2 do úložišť umístěných v jiných členských státech, jakož i projekty využívání CO2.</w:t>
            </w:r>
          </w:p>
        </w:tc>
      </w:tr>
      <w:tr w:rsidR="00187874" w14:paraId="16C59838" w14:textId="77777777" w:rsidTr="00A267C2">
        <w:trPr>
          <w:trHeight w:val="300"/>
        </w:trPr>
        <w:tc>
          <w:tcPr>
            <w:tcW w:w="525" w:type="pct"/>
            <w:shd w:val="clear" w:color="auto" w:fill="auto"/>
            <w:tcMar>
              <w:top w:w="57" w:type="dxa"/>
              <w:bottom w:w="57" w:type="dxa"/>
            </w:tcMar>
          </w:tcPr>
          <w:p w14:paraId="6633B334" w14:textId="657D7CDE" w:rsidR="00187874" w:rsidRDefault="007F64B4" w:rsidP="00187874">
            <w:pPr>
              <w:spacing w:line="259" w:lineRule="auto"/>
              <w:jc w:val="both"/>
            </w:pPr>
            <w:r>
              <w:t xml:space="preserve">§ </w:t>
            </w:r>
            <w:r w:rsidR="001D3D3C">
              <w:t>6</w:t>
            </w:r>
            <w:r>
              <w:t xml:space="preserve"> odst. 4</w:t>
            </w:r>
          </w:p>
        </w:tc>
        <w:tc>
          <w:tcPr>
            <w:tcW w:w="1693" w:type="pct"/>
            <w:shd w:val="clear" w:color="auto" w:fill="auto"/>
            <w:tcMar>
              <w:top w:w="57" w:type="dxa"/>
              <w:bottom w:w="57" w:type="dxa"/>
            </w:tcMar>
          </w:tcPr>
          <w:p w14:paraId="686EC820" w14:textId="3D9654E1" w:rsidR="00187874" w:rsidRDefault="007F64B4" w:rsidP="00187874">
            <w:pPr>
              <w:spacing w:line="259" w:lineRule="auto"/>
              <w:jc w:val="both"/>
              <w:rPr>
                <w:color w:val="FF0000"/>
              </w:rPr>
            </w:pPr>
            <w:r w:rsidRPr="007F64B4">
              <w:rPr>
                <w:color w:val="000000" w:themeColor="text1"/>
              </w:rPr>
              <w:t>(4)</w:t>
            </w:r>
            <w:r w:rsidRPr="007F64B4">
              <w:rPr>
                <w:color w:val="000000" w:themeColor="text1"/>
              </w:rPr>
              <w:tab/>
            </w:r>
            <w:r w:rsidRPr="007F64B4">
              <w:rPr>
                <w:color w:val="000000" w:themeColor="text1"/>
                <w:u w:val="single"/>
              </w:rPr>
              <w:t>Ministerstvo životního prostředí provádí opatření podle čl. 22 nařízení Evropského parlamentu a Rady (EU) 2024/1735.</w:t>
            </w:r>
          </w:p>
        </w:tc>
        <w:tc>
          <w:tcPr>
            <w:tcW w:w="542" w:type="pct"/>
            <w:shd w:val="clear" w:color="auto" w:fill="auto"/>
            <w:tcMar>
              <w:top w:w="57" w:type="dxa"/>
              <w:bottom w:w="57" w:type="dxa"/>
            </w:tcMar>
          </w:tcPr>
          <w:p w14:paraId="7D006596" w14:textId="5DB12CC5"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13463643" w14:textId="1F7BE5C4" w:rsidR="00187874" w:rsidRDefault="00187874" w:rsidP="00187874">
            <w:r>
              <w:t>Čl. 22 odst. 1</w:t>
            </w:r>
          </w:p>
        </w:tc>
        <w:tc>
          <w:tcPr>
            <w:tcW w:w="1753" w:type="pct"/>
            <w:shd w:val="clear" w:color="auto" w:fill="auto"/>
            <w:tcMar>
              <w:top w:w="57" w:type="dxa"/>
              <w:bottom w:w="57" w:type="dxa"/>
            </w:tcMar>
          </w:tcPr>
          <w:p w14:paraId="6D6BC9EA" w14:textId="77777777" w:rsidR="00187874" w:rsidRDefault="00187874" w:rsidP="00187874">
            <w:pPr>
              <w:spacing w:line="259" w:lineRule="auto"/>
              <w:jc w:val="both"/>
            </w:pPr>
            <w:r>
              <w:t>Infrastruktura pro přepravu CO2</w:t>
            </w:r>
          </w:p>
          <w:p w14:paraId="079C6B1B" w14:textId="5B2DF564" w:rsidR="00187874" w:rsidRPr="00E15AA0" w:rsidRDefault="00187874" w:rsidP="00187874">
            <w:pPr>
              <w:spacing w:line="259" w:lineRule="auto"/>
              <w:jc w:val="both"/>
            </w:pPr>
            <w:r>
              <w:t>1. S cílem usnadnit dosažení cíle stanoveného v článku 20 vynaloží Unie a její členské státy, případně ve spolupráci s relevantními společnostmi, veškeré přiměřené úsilí k rozvoji nezbytné infrastruktury pro přepravu CO2, včetně přeshraniční infrastruktury, přičemž zohlední hospodářské a environmentální přínosy toho, když se místa zachycování a úložiště nacházejí v blízkosti.</w:t>
            </w:r>
          </w:p>
        </w:tc>
      </w:tr>
      <w:tr w:rsidR="00187874" w14:paraId="072AECE1" w14:textId="77777777" w:rsidTr="00A267C2">
        <w:trPr>
          <w:trHeight w:val="300"/>
        </w:trPr>
        <w:tc>
          <w:tcPr>
            <w:tcW w:w="525" w:type="pct"/>
            <w:shd w:val="clear" w:color="auto" w:fill="auto"/>
            <w:tcMar>
              <w:top w:w="57" w:type="dxa"/>
              <w:bottom w:w="57" w:type="dxa"/>
            </w:tcMar>
          </w:tcPr>
          <w:p w14:paraId="41D1CF16" w14:textId="2FC21CE8" w:rsidR="00187874" w:rsidRDefault="007F64B4" w:rsidP="00187874">
            <w:pPr>
              <w:spacing w:line="259" w:lineRule="auto"/>
              <w:jc w:val="both"/>
            </w:pPr>
            <w:r>
              <w:t xml:space="preserve">§ </w:t>
            </w:r>
            <w:r w:rsidR="001D3D3C">
              <w:t>6</w:t>
            </w:r>
            <w:r>
              <w:t xml:space="preserve"> odst. 4</w:t>
            </w:r>
          </w:p>
        </w:tc>
        <w:tc>
          <w:tcPr>
            <w:tcW w:w="1693" w:type="pct"/>
            <w:shd w:val="clear" w:color="auto" w:fill="auto"/>
            <w:tcMar>
              <w:top w:w="57" w:type="dxa"/>
              <w:bottom w:w="57" w:type="dxa"/>
            </w:tcMar>
          </w:tcPr>
          <w:p w14:paraId="29025191" w14:textId="1A798FAC" w:rsidR="00187874" w:rsidRPr="00E15AA0" w:rsidRDefault="007F64B4" w:rsidP="00187874">
            <w:pPr>
              <w:spacing w:line="259" w:lineRule="auto"/>
              <w:jc w:val="both"/>
              <w:rPr>
                <w:color w:val="538135" w:themeColor="accent6" w:themeShade="BF"/>
              </w:rPr>
            </w:pPr>
            <w:r w:rsidRPr="007F64B4">
              <w:rPr>
                <w:color w:val="000000" w:themeColor="text1"/>
              </w:rPr>
              <w:t>(4)</w:t>
            </w:r>
            <w:r w:rsidRPr="007F64B4">
              <w:rPr>
                <w:color w:val="000000" w:themeColor="text1"/>
              </w:rPr>
              <w:tab/>
            </w:r>
            <w:r w:rsidRPr="007F64B4">
              <w:rPr>
                <w:color w:val="000000" w:themeColor="text1"/>
                <w:u w:val="single"/>
              </w:rPr>
              <w:t>Ministerstvo životního prostředí provádí opatření podle čl. 22 nařízení Evropského parlamentu a Rady (EU) 2024/1735.</w:t>
            </w:r>
          </w:p>
        </w:tc>
        <w:tc>
          <w:tcPr>
            <w:tcW w:w="542" w:type="pct"/>
            <w:shd w:val="clear" w:color="auto" w:fill="auto"/>
            <w:tcMar>
              <w:top w:w="57" w:type="dxa"/>
              <w:bottom w:w="57" w:type="dxa"/>
            </w:tcMar>
          </w:tcPr>
          <w:p w14:paraId="58FFE198" w14:textId="7063F452"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6B7E6DB7" w14:textId="0537E9D3" w:rsidR="00187874" w:rsidRDefault="00187874" w:rsidP="00187874">
            <w:r>
              <w:t>Čl. 22 odst. 2</w:t>
            </w:r>
          </w:p>
        </w:tc>
        <w:tc>
          <w:tcPr>
            <w:tcW w:w="1753" w:type="pct"/>
            <w:shd w:val="clear" w:color="auto" w:fill="auto"/>
            <w:tcMar>
              <w:top w:w="57" w:type="dxa"/>
              <w:bottom w:w="57" w:type="dxa"/>
            </w:tcMar>
          </w:tcPr>
          <w:p w14:paraId="6C43FC17" w14:textId="513A6DF8" w:rsidR="00187874" w:rsidRDefault="00187874" w:rsidP="00187874">
            <w:pPr>
              <w:spacing w:line="259" w:lineRule="auto"/>
              <w:jc w:val="both"/>
            </w:pPr>
            <w:r w:rsidRPr="00E15AA0">
              <w:t>2. Členské státy přijmou nezbytná opatření, aby umožnily přístup k přepravním sítím a úložištím CO2 za účelem geologického ukládání vyrobeného a zachyceného CO2, pokud je to ekonomicky proveditelné nebo pokud je to potenciální zákazník ochoten zaplatit, v souladu s článkem 21 směrnice 2009/31/ES.</w:t>
            </w:r>
          </w:p>
        </w:tc>
      </w:tr>
      <w:tr w:rsidR="00187874" w14:paraId="71EED0DF" w14:textId="77777777" w:rsidTr="00A267C2">
        <w:trPr>
          <w:trHeight w:val="300"/>
        </w:trPr>
        <w:tc>
          <w:tcPr>
            <w:tcW w:w="525" w:type="pct"/>
            <w:shd w:val="clear" w:color="auto" w:fill="auto"/>
            <w:tcMar>
              <w:top w:w="57" w:type="dxa"/>
              <w:bottom w:w="57" w:type="dxa"/>
            </w:tcMar>
          </w:tcPr>
          <w:p w14:paraId="598CCF22" w14:textId="3AEC46B7" w:rsidR="00187874" w:rsidRDefault="007F64B4" w:rsidP="00187874">
            <w:pPr>
              <w:spacing w:line="259" w:lineRule="auto"/>
              <w:jc w:val="both"/>
            </w:pPr>
            <w:r>
              <w:t xml:space="preserve">§ </w:t>
            </w:r>
            <w:r w:rsidR="001D3D3C">
              <w:t>6</w:t>
            </w:r>
            <w:r>
              <w:t xml:space="preserve"> odst. 4</w:t>
            </w:r>
          </w:p>
        </w:tc>
        <w:tc>
          <w:tcPr>
            <w:tcW w:w="1693" w:type="pct"/>
            <w:shd w:val="clear" w:color="auto" w:fill="auto"/>
            <w:tcMar>
              <w:top w:w="57" w:type="dxa"/>
              <w:bottom w:w="57" w:type="dxa"/>
            </w:tcMar>
          </w:tcPr>
          <w:p w14:paraId="09F32DF6" w14:textId="212DF2A5" w:rsidR="00187874" w:rsidRPr="00E15AA0" w:rsidRDefault="007F64B4" w:rsidP="00187874">
            <w:pPr>
              <w:spacing w:line="259" w:lineRule="auto"/>
              <w:jc w:val="both"/>
              <w:rPr>
                <w:color w:val="538135" w:themeColor="accent6" w:themeShade="BF"/>
              </w:rPr>
            </w:pPr>
            <w:r w:rsidRPr="007F64B4">
              <w:rPr>
                <w:color w:val="000000" w:themeColor="text1"/>
              </w:rPr>
              <w:t>(4)</w:t>
            </w:r>
            <w:r w:rsidRPr="007F64B4">
              <w:rPr>
                <w:color w:val="000000" w:themeColor="text1"/>
              </w:rPr>
              <w:tab/>
            </w:r>
            <w:r w:rsidRPr="007F64B4">
              <w:rPr>
                <w:color w:val="000000" w:themeColor="text1"/>
                <w:u w:val="single"/>
              </w:rPr>
              <w:t xml:space="preserve">Ministerstvo životního prostředí provádí opatření podle čl. 22 nařízení </w:t>
            </w:r>
            <w:r w:rsidRPr="007F64B4">
              <w:rPr>
                <w:color w:val="000000" w:themeColor="text1"/>
                <w:u w:val="single"/>
              </w:rPr>
              <w:lastRenderedPageBreak/>
              <w:t>Evropského parlamentu a Rady (EU) 2024/1735.</w:t>
            </w:r>
          </w:p>
        </w:tc>
        <w:tc>
          <w:tcPr>
            <w:tcW w:w="542" w:type="pct"/>
            <w:shd w:val="clear" w:color="auto" w:fill="auto"/>
            <w:tcMar>
              <w:top w:w="57" w:type="dxa"/>
              <w:bottom w:w="57" w:type="dxa"/>
            </w:tcMar>
          </w:tcPr>
          <w:p w14:paraId="5136EB57" w14:textId="205535F4"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42EF528E" w14:textId="01508EB2" w:rsidR="00187874" w:rsidRDefault="00187874" w:rsidP="00187874">
            <w:r>
              <w:t>Čl. 22 odst. 3</w:t>
            </w:r>
          </w:p>
        </w:tc>
        <w:tc>
          <w:tcPr>
            <w:tcW w:w="1753" w:type="pct"/>
            <w:shd w:val="clear" w:color="auto" w:fill="auto"/>
            <w:tcMar>
              <w:top w:w="57" w:type="dxa"/>
              <w:bottom w:w="57" w:type="dxa"/>
            </w:tcMar>
          </w:tcPr>
          <w:p w14:paraId="723EE547" w14:textId="145FADA0" w:rsidR="00187874" w:rsidRPr="00E15AA0" w:rsidRDefault="00187874" w:rsidP="00187874">
            <w:pPr>
              <w:spacing w:line="259" w:lineRule="auto"/>
              <w:jc w:val="both"/>
            </w:pPr>
            <w:r w:rsidRPr="00E15AA0">
              <w:t xml:space="preserve">3. Pokud je CO2 zachycen a přepravován v jednom členském státě a přepravován a skladován v jiných členských státech, koordinují </w:t>
            </w:r>
            <w:r w:rsidRPr="00E15AA0">
              <w:lastRenderedPageBreak/>
              <w:t>členské státy opatření, která přijaly podle odstavce 2. Pokud o to zúčastněné členské státy požádají společně, může Komise tuto koordinaci usnadnit zřízením regionálních seskupení pro CCS.</w:t>
            </w:r>
          </w:p>
        </w:tc>
      </w:tr>
      <w:tr w:rsidR="00187874" w14:paraId="105185EC" w14:textId="77777777" w:rsidTr="00A267C2">
        <w:trPr>
          <w:trHeight w:val="300"/>
        </w:trPr>
        <w:tc>
          <w:tcPr>
            <w:tcW w:w="525" w:type="pct"/>
            <w:shd w:val="clear" w:color="auto" w:fill="auto"/>
            <w:tcMar>
              <w:top w:w="57" w:type="dxa"/>
              <w:bottom w:w="57" w:type="dxa"/>
            </w:tcMar>
          </w:tcPr>
          <w:p w14:paraId="79357813" w14:textId="77777777" w:rsidR="00187874" w:rsidRDefault="00187874" w:rsidP="00187874">
            <w:pPr>
              <w:spacing w:line="259" w:lineRule="auto"/>
              <w:jc w:val="both"/>
            </w:pPr>
          </w:p>
        </w:tc>
        <w:tc>
          <w:tcPr>
            <w:tcW w:w="1693" w:type="pct"/>
            <w:shd w:val="clear" w:color="auto" w:fill="auto"/>
            <w:tcMar>
              <w:top w:w="57" w:type="dxa"/>
              <w:bottom w:w="57" w:type="dxa"/>
            </w:tcMar>
          </w:tcPr>
          <w:p w14:paraId="134C748E" w14:textId="6603270B" w:rsidR="00187874" w:rsidRPr="003F53CD" w:rsidRDefault="003F53CD" w:rsidP="00187874">
            <w:pPr>
              <w:spacing w:line="259" w:lineRule="auto"/>
              <w:jc w:val="both"/>
              <w:rPr>
                <w:b/>
                <w:bCs/>
                <w:color w:val="538135" w:themeColor="accent6" w:themeShade="BF"/>
              </w:rPr>
            </w:pPr>
            <w:r w:rsidRPr="003F53CD">
              <w:rPr>
                <w:b/>
                <w:bCs/>
                <w:color w:val="000000" w:themeColor="text1"/>
              </w:rPr>
              <w:t>Neimplementováno</w:t>
            </w:r>
            <w:r>
              <w:rPr>
                <w:b/>
                <w:bCs/>
                <w:color w:val="000000" w:themeColor="text1"/>
              </w:rPr>
              <w:t>,</w:t>
            </w:r>
            <w:r w:rsidRPr="003F53CD">
              <w:rPr>
                <w:color w:val="000000" w:themeColor="text1"/>
              </w:rPr>
              <w:t xml:space="preserve"> Komise do okamžiku předložení do vnějšího připomínkového řízení nepředložila delegovaný akt podle </w:t>
            </w:r>
            <w:r>
              <w:rPr>
                <w:color w:val="000000" w:themeColor="text1"/>
              </w:rPr>
              <w:t xml:space="preserve">čl. 23 odst. 3 a 12 nařízení; není vůbec zřejmé, zda by se na držitele licence k těžbě ropy nebo zemního plynu v ČR vztahovala povinnost příspěvku podle čl. 23 odst. 1 </w:t>
            </w:r>
          </w:p>
        </w:tc>
        <w:tc>
          <w:tcPr>
            <w:tcW w:w="542" w:type="pct"/>
            <w:shd w:val="clear" w:color="auto" w:fill="auto"/>
            <w:tcMar>
              <w:top w:w="57" w:type="dxa"/>
              <w:bottom w:w="57" w:type="dxa"/>
            </w:tcMar>
          </w:tcPr>
          <w:p w14:paraId="7720249A" w14:textId="10EBE2EE"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72930EB" w14:textId="7027A1B1" w:rsidR="00187874" w:rsidRDefault="00187874" w:rsidP="00187874">
            <w:r>
              <w:t>Čl. 23 odst. 7</w:t>
            </w:r>
          </w:p>
        </w:tc>
        <w:tc>
          <w:tcPr>
            <w:tcW w:w="1753" w:type="pct"/>
            <w:shd w:val="clear" w:color="auto" w:fill="auto"/>
            <w:tcMar>
              <w:top w:w="57" w:type="dxa"/>
              <w:bottom w:w="57" w:type="dxa"/>
            </w:tcMar>
          </w:tcPr>
          <w:p w14:paraId="63214A43" w14:textId="77777777" w:rsidR="00187874" w:rsidRDefault="00187874" w:rsidP="00187874">
            <w:pPr>
              <w:spacing w:line="259" w:lineRule="auto"/>
              <w:jc w:val="both"/>
            </w:pPr>
            <w:r>
              <w:t>7. Odchylně od odstavce 1 může členský stát Komisi požádat, aby subjekty podle uvedeného odstavce osvobodila od povinnosti poskytnout individuální příspěvky v souvislosti s těžebními činnostmi, které prováděly na území tohoto členského státu od 1. ledna 2020 do 31. prosince 2023, za předpokladu, že:</w:t>
            </w:r>
          </w:p>
          <w:p w14:paraId="0F2AD372" w14:textId="77777777" w:rsidR="00187874" w:rsidRDefault="00187874" w:rsidP="00187874">
            <w:pPr>
              <w:spacing w:line="259" w:lineRule="auto"/>
              <w:jc w:val="both"/>
            </w:pPr>
            <w:r>
              <w:t>a) celková roční vtláčecí kapacita všech úložišť provozovaných jakýmkoli subjektem, který obdržel povolení k ukládání ve smyslu směrnice 2009/31/ES a dosáhl konečného rozhodnutí o investici, nacházejících se na území daného členského státu přesahuje součet individuálních příspěvků subjektů uvedených v odstavci 1 tohoto článku ve vztahu k relevantním těžebním činnostem a roční vtláčecí kapacity spojené s těmito úložišti odpovídají kapacitám uvedeným v povoleních k ukládání a v konečných rozhodnutích o investici a přispívají k celounijnímu cíli v oblasti dostupné kapacity pro vtláčení CO2 stanovenému v článku 20 tohoto nařízení;</w:t>
            </w:r>
          </w:p>
          <w:p w14:paraId="72465C58" w14:textId="78FE6D7D" w:rsidR="00187874" w:rsidRPr="00E15AA0" w:rsidRDefault="00187874" w:rsidP="00187874">
            <w:pPr>
              <w:spacing w:line="259" w:lineRule="auto"/>
              <w:jc w:val="both"/>
            </w:pPr>
            <w:r>
              <w:t>b) žádost se podává před koncem roku 2027.</w:t>
            </w:r>
          </w:p>
        </w:tc>
      </w:tr>
      <w:tr w:rsidR="00187874" w14:paraId="7E6BA0F9" w14:textId="77777777" w:rsidTr="00A267C2">
        <w:trPr>
          <w:trHeight w:val="300"/>
        </w:trPr>
        <w:tc>
          <w:tcPr>
            <w:tcW w:w="525" w:type="pct"/>
            <w:shd w:val="clear" w:color="auto" w:fill="auto"/>
            <w:tcMar>
              <w:top w:w="57" w:type="dxa"/>
              <w:bottom w:w="57" w:type="dxa"/>
            </w:tcMar>
          </w:tcPr>
          <w:p w14:paraId="555E269C" w14:textId="77777777" w:rsidR="00187874" w:rsidRDefault="00187874" w:rsidP="00187874">
            <w:pPr>
              <w:spacing w:line="259" w:lineRule="auto"/>
              <w:jc w:val="both"/>
            </w:pPr>
          </w:p>
        </w:tc>
        <w:tc>
          <w:tcPr>
            <w:tcW w:w="1693" w:type="pct"/>
            <w:shd w:val="clear" w:color="auto" w:fill="auto"/>
            <w:tcMar>
              <w:top w:w="57" w:type="dxa"/>
              <w:bottom w:w="57" w:type="dxa"/>
            </w:tcMar>
          </w:tcPr>
          <w:p w14:paraId="17FC00A5" w14:textId="4E94287D" w:rsidR="00187874" w:rsidRPr="00DA6FD9" w:rsidRDefault="00DA6FD9" w:rsidP="00187874">
            <w:pPr>
              <w:spacing w:line="259" w:lineRule="auto"/>
              <w:jc w:val="both"/>
              <w:rPr>
                <w:b/>
                <w:bCs/>
                <w:color w:val="FF0000"/>
              </w:rPr>
            </w:pPr>
            <w:r w:rsidRPr="00DA6FD9">
              <w:rPr>
                <w:b/>
                <w:bCs/>
                <w:color w:val="000000" w:themeColor="text1"/>
              </w:rPr>
              <w:t>Neimplementováno,</w:t>
            </w:r>
            <w:r>
              <w:rPr>
                <w:b/>
                <w:bCs/>
                <w:color w:val="000000" w:themeColor="text1"/>
              </w:rPr>
              <w:t xml:space="preserve"> důvod viz výše.</w:t>
            </w:r>
          </w:p>
        </w:tc>
        <w:tc>
          <w:tcPr>
            <w:tcW w:w="542" w:type="pct"/>
            <w:shd w:val="clear" w:color="auto" w:fill="auto"/>
            <w:tcMar>
              <w:top w:w="57" w:type="dxa"/>
              <w:bottom w:w="57" w:type="dxa"/>
            </w:tcMar>
          </w:tcPr>
          <w:p w14:paraId="39B188D7" w14:textId="3468F78B"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6ADB8435" w14:textId="3D1EB450" w:rsidR="00187874" w:rsidRDefault="00187874" w:rsidP="00187874">
            <w:r>
              <w:t>Čl. 23 odst. 10</w:t>
            </w:r>
          </w:p>
        </w:tc>
        <w:tc>
          <w:tcPr>
            <w:tcW w:w="1753" w:type="pct"/>
            <w:shd w:val="clear" w:color="auto" w:fill="auto"/>
            <w:tcMar>
              <w:top w:w="57" w:type="dxa"/>
              <w:bottom w:w="57" w:type="dxa"/>
            </w:tcMar>
          </w:tcPr>
          <w:p w14:paraId="026BD8DF" w14:textId="34A80530" w:rsidR="00187874" w:rsidRDefault="00187874" w:rsidP="00187874">
            <w:pPr>
              <w:spacing w:line="259" w:lineRule="auto"/>
              <w:jc w:val="both"/>
            </w:pPr>
            <w:r w:rsidRPr="005B26AC">
              <w:t>10. Jeden rok po přijetí rozhodnutí o osvobození od poskytování příspěvku a poté každý rok předloží členský stát Komisi zprávu, v níž podrobně popíše pokrok subjektů osvobozených podle odstavce 8 při plnění příspěvku k celounijnímu cíli v oblasti dostupné kapacity pro vtláčení CO2 stanovenému v článku 20. Komise tyto zprávy zveřejní.</w:t>
            </w:r>
          </w:p>
        </w:tc>
      </w:tr>
      <w:tr w:rsidR="00187874" w:rsidRPr="005D452F" w14:paraId="6A73B6C4" w14:textId="77777777" w:rsidTr="00A267C2">
        <w:tc>
          <w:tcPr>
            <w:tcW w:w="525" w:type="pct"/>
            <w:shd w:val="clear" w:color="auto" w:fill="auto"/>
            <w:tcMar>
              <w:top w:w="57" w:type="dxa"/>
              <w:bottom w:w="57" w:type="dxa"/>
            </w:tcMar>
          </w:tcPr>
          <w:p w14:paraId="40FCF851" w14:textId="58EC683E" w:rsidR="00187874" w:rsidRPr="00FB58A3" w:rsidRDefault="00187874" w:rsidP="00187874"/>
        </w:tc>
        <w:tc>
          <w:tcPr>
            <w:tcW w:w="1693" w:type="pct"/>
            <w:shd w:val="clear" w:color="auto" w:fill="auto"/>
            <w:tcMar>
              <w:top w:w="57" w:type="dxa"/>
              <w:bottom w:w="57" w:type="dxa"/>
            </w:tcMar>
          </w:tcPr>
          <w:p w14:paraId="43CF2394" w14:textId="4103EC7C" w:rsidR="00187874" w:rsidRPr="00DA6FD9" w:rsidRDefault="00DA6FD9" w:rsidP="00187874">
            <w:pPr>
              <w:tabs>
                <w:tab w:val="left" w:pos="0"/>
              </w:tabs>
              <w:jc w:val="both"/>
              <w:rPr>
                <w:b/>
                <w:bCs/>
              </w:rPr>
            </w:pPr>
            <w:r w:rsidRPr="00DA6FD9">
              <w:rPr>
                <w:b/>
                <w:bCs/>
              </w:rPr>
              <w:t>Neimplementováno, důvod viz výše</w:t>
            </w:r>
            <w:r>
              <w:rPr>
                <w:b/>
                <w:bCs/>
              </w:rPr>
              <w:t>.</w:t>
            </w:r>
          </w:p>
        </w:tc>
        <w:tc>
          <w:tcPr>
            <w:tcW w:w="542" w:type="pct"/>
            <w:shd w:val="clear" w:color="auto" w:fill="auto"/>
            <w:tcMar>
              <w:top w:w="57" w:type="dxa"/>
              <w:bottom w:w="57" w:type="dxa"/>
            </w:tcMar>
          </w:tcPr>
          <w:p w14:paraId="7C94AAAC" w14:textId="06657806" w:rsidR="00187874" w:rsidRPr="00B3357D" w:rsidRDefault="00187874" w:rsidP="00187874">
            <w:r w:rsidRPr="00163132">
              <w:rPr>
                <w:color w:val="333333"/>
                <w:shd w:val="clear" w:color="auto" w:fill="FFFFFF"/>
              </w:rPr>
              <w:t>32024R1735</w:t>
            </w:r>
          </w:p>
        </w:tc>
        <w:tc>
          <w:tcPr>
            <w:tcW w:w="487" w:type="pct"/>
            <w:shd w:val="clear" w:color="auto" w:fill="auto"/>
            <w:tcMar>
              <w:top w:w="57" w:type="dxa"/>
              <w:bottom w:w="57" w:type="dxa"/>
            </w:tcMar>
          </w:tcPr>
          <w:p w14:paraId="6E647461" w14:textId="0C707DC1" w:rsidR="00187874" w:rsidRPr="00B3357D" w:rsidRDefault="00187874" w:rsidP="00187874">
            <w:r>
              <w:t>Čl. 23 odst. 13</w:t>
            </w:r>
          </w:p>
        </w:tc>
        <w:tc>
          <w:tcPr>
            <w:tcW w:w="1753" w:type="pct"/>
            <w:shd w:val="clear" w:color="auto" w:fill="auto"/>
            <w:tcMar>
              <w:top w:w="57" w:type="dxa"/>
              <w:bottom w:w="57" w:type="dxa"/>
            </w:tcMar>
          </w:tcPr>
          <w:p w14:paraId="1ED19CA9" w14:textId="39009ED8" w:rsidR="00187874" w:rsidRPr="006906D1" w:rsidRDefault="00187874" w:rsidP="00187874">
            <w:pPr>
              <w:jc w:val="both"/>
            </w:pPr>
            <w:r w:rsidRPr="006906D1">
              <w:t>13. Nejpozději do 30. června 2026 stanoví členské státy prostřednictvím správních postupů, soudního řízení, nebo obojího, sankce za porušení povinností podle odstavce 3 ze strany subjektů uvedených v odstavci 1. Tyto sankce musí být účinné, přiměřené a odrazující.</w:t>
            </w:r>
          </w:p>
        </w:tc>
      </w:tr>
      <w:tr w:rsidR="00187874" w:rsidRPr="005D452F" w14:paraId="23DB3AA5" w14:textId="77777777" w:rsidTr="00A267C2">
        <w:tc>
          <w:tcPr>
            <w:tcW w:w="525" w:type="pct"/>
            <w:shd w:val="clear" w:color="auto" w:fill="auto"/>
            <w:tcMar>
              <w:top w:w="57" w:type="dxa"/>
              <w:bottom w:w="57" w:type="dxa"/>
            </w:tcMar>
          </w:tcPr>
          <w:p w14:paraId="0B613122" w14:textId="196F3A76" w:rsidR="00187874" w:rsidRPr="00FB58A3" w:rsidRDefault="00B71775" w:rsidP="00187874">
            <w:r>
              <w:t>§ 2 odst. 2</w:t>
            </w:r>
          </w:p>
        </w:tc>
        <w:tc>
          <w:tcPr>
            <w:tcW w:w="1693" w:type="pct"/>
            <w:shd w:val="clear" w:color="auto" w:fill="auto"/>
            <w:tcMar>
              <w:top w:w="57" w:type="dxa"/>
              <w:bottom w:w="57" w:type="dxa"/>
            </w:tcMar>
          </w:tcPr>
          <w:p w14:paraId="16F3E812" w14:textId="77777777" w:rsidR="000C27EE" w:rsidRPr="000C27EE" w:rsidRDefault="000C27EE" w:rsidP="000C27EE">
            <w:pPr>
              <w:tabs>
                <w:tab w:val="left" w:pos="0"/>
              </w:tabs>
              <w:jc w:val="both"/>
              <w:rPr>
                <w:u w:val="single"/>
              </w:rPr>
            </w:pPr>
            <w:r w:rsidRPr="000C27EE">
              <w:t>(2)</w:t>
            </w:r>
            <w:r w:rsidRPr="000C27EE">
              <w:tab/>
            </w:r>
            <w:r w:rsidRPr="000C27EE">
              <w:rPr>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p w14:paraId="2AA68E0A" w14:textId="1DD1DC0F" w:rsidR="00187874" w:rsidRDefault="00187874" w:rsidP="00187874">
            <w:pPr>
              <w:tabs>
                <w:tab w:val="left" w:pos="0"/>
              </w:tabs>
              <w:jc w:val="both"/>
            </w:pPr>
          </w:p>
        </w:tc>
        <w:tc>
          <w:tcPr>
            <w:tcW w:w="542" w:type="pct"/>
            <w:shd w:val="clear" w:color="auto" w:fill="auto"/>
            <w:tcMar>
              <w:top w:w="57" w:type="dxa"/>
              <w:bottom w:w="57" w:type="dxa"/>
            </w:tcMar>
          </w:tcPr>
          <w:p w14:paraId="52A3E14F" w14:textId="4282E5CE"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74077F12" w14:textId="0FD5F4AE" w:rsidR="00187874" w:rsidRDefault="00187874" w:rsidP="00187874">
            <w:r>
              <w:t>Čl. 26 odst. 1</w:t>
            </w:r>
          </w:p>
        </w:tc>
        <w:tc>
          <w:tcPr>
            <w:tcW w:w="1753" w:type="pct"/>
            <w:shd w:val="clear" w:color="auto" w:fill="auto"/>
            <w:tcMar>
              <w:top w:w="57" w:type="dxa"/>
              <w:bottom w:w="57" w:type="dxa"/>
            </w:tcMar>
          </w:tcPr>
          <w:p w14:paraId="401DC7A0" w14:textId="77777777" w:rsidR="00187874" w:rsidRDefault="00187874" w:rsidP="00187874">
            <w:pPr>
              <w:jc w:val="both"/>
            </w:pPr>
            <w:r>
              <w:t>Dražby za účelem využívání obnovitelných zdrojů energie</w:t>
            </w:r>
          </w:p>
          <w:p w14:paraId="51801E70" w14:textId="77777777" w:rsidR="00187874" w:rsidRDefault="00187874" w:rsidP="00187874">
            <w:pPr>
              <w:jc w:val="both"/>
            </w:pPr>
            <w:r>
              <w:t>U technologií uvedených v čl. 4 odst. 1 písm. a) až j), které jsou technologiemi v oblasti energie z obnovitelných zdrojů, členské státy při navrhování dražeb pro zavádění energie z obnovitelných zdrojů zahrnou:</w:t>
            </w:r>
          </w:p>
          <w:p w14:paraId="3B1C9C4F" w14:textId="77777777" w:rsidR="00187874" w:rsidRDefault="00187874" w:rsidP="00187874">
            <w:pPr>
              <w:jc w:val="both"/>
            </w:pPr>
            <w:r>
              <w:t>a) předvýběrová kritéria týkající se:</w:t>
            </w:r>
          </w:p>
          <w:p w14:paraId="53A55292" w14:textId="77777777" w:rsidR="00187874" w:rsidRDefault="00187874" w:rsidP="00187874">
            <w:pPr>
              <w:jc w:val="both"/>
            </w:pPr>
            <w:r>
              <w:t>i) odpovědného chování podniků;</w:t>
            </w:r>
          </w:p>
          <w:p w14:paraId="085D9D02" w14:textId="77777777" w:rsidR="00187874" w:rsidRDefault="00187874" w:rsidP="00187874">
            <w:pPr>
              <w:jc w:val="both"/>
            </w:pPr>
            <w:r>
              <w:t>ii) kybernetické bezpečnosti a bezpečnosti údajů; a</w:t>
            </w:r>
          </w:p>
          <w:p w14:paraId="0A5D13C5" w14:textId="77777777" w:rsidR="00187874" w:rsidRDefault="00187874" w:rsidP="00187874">
            <w:pPr>
              <w:jc w:val="both"/>
            </w:pPr>
            <w:r>
              <w:t>iii)  schopnosti realizovat projekt v plném rozsahu a včas;</w:t>
            </w:r>
          </w:p>
          <w:p w14:paraId="2FCC2F54" w14:textId="77777777" w:rsidR="00187874" w:rsidRDefault="00187874" w:rsidP="00187874">
            <w:pPr>
              <w:jc w:val="both"/>
            </w:pPr>
          </w:p>
          <w:p w14:paraId="5EA2BA8A" w14:textId="47407D49" w:rsidR="00187874" w:rsidRPr="006906D1" w:rsidRDefault="00187874" w:rsidP="00187874">
            <w:pPr>
              <w:jc w:val="both"/>
            </w:pPr>
            <w:r>
              <w:t xml:space="preserve">b) předvýběrová kritéria nebo kritéria pro udělení zakázky s cílem posoudit příspěvek </w:t>
            </w:r>
            <w:r>
              <w:lastRenderedPageBreak/>
              <w:t>dražby k udržitelnosti a odolnosti podle odstavce 2.</w:t>
            </w:r>
          </w:p>
        </w:tc>
      </w:tr>
      <w:tr w:rsidR="00187874" w:rsidRPr="005D452F" w14:paraId="166283A1" w14:textId="77777777" w:rsidTr="00A267C2">
        <w:tc>
          <w:tcPr>
            <w:tcW w:w="525" w:type="pct"/>
            <w:shd w:val="clear" w:color="auto" w:fill="auto"/>
            <w:tcMar>
              <w:top w:w="57" w:type="dxa"/>
              <w:bottom w:w="57" w:type="dxa"/>
            </w:tcMar>
          </w:tcPr>
          <w:p w14:paraId="79F8FD05" w14:textId="352866B9" w:rsidR="00187874" w:rsidRPr="00FB58A3" w:rsidRDefault="00B71775" w:rsidP="00187874">
            <w:r>
              <w:lastRenderedPageBreak/>
              <w:t>§ 2 odst. 2</w:t>
            </w:r>
          </w:p>
        </w:tc>
        <w:tc>
          <w:tcPr>
            <w:tcW w:w="1693" w:type="pct"/>
            <w:shd w:val="clear" w:color="auto" w:fill="auto"/>
            <w:tcMar>
              <w:top w:w="57" w:type="dxa"/>
              <w:bottom w:w="57" w:type="dxa"/>
            </w:tcMar>
          </w:tcPr>
          <w:p w14:paraId="317A7160" w14:textId="77777777" w:rsidR="00C44BD3" w:rsidRPr="00C44BD3" w:rsidRDefault="00C44BD3" w:rsidP="00C44BD3">
            <w:pPr>
              <w:tabs>
                <w:tab w:val="left" w:pos="0"/>
              </w:tabs>
              <w:jc w:val="both"/>
              <w:rPr>
                <w:color w:val="000000" w:themeColor="text1"/>
                <w:u w:val="single"/>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p w14:paraId="600FA964" w14:textId="30B809B9" w:rsidR="00187874" w:rsidRDefault="00187874" w:rsidP="00187874">
            <w:pPr>
              <w:tabs>
                <w:tab w:val="left" w:pos="0"/>
              </w:tabs>
              <w:jc w:val="both"/>
              <w:rPr>
                <w:color w:val="FF0000"/>
              </w:rPr>
            </w:pPr>
          </w:p>
        </w:tc>
        <w:tc>
          <w:tcPr>
            <w:tcW w:w="542" w:type="pct"/>
            <w:shd w:val="clear" w:color="auto" w:fill="auto"/>
            <w:tcMar>
              <w:top w:w="57" w:type="dxa"/>
              <w:bottom w:w="57" w:type="dxa"/>
            </w:tcMar>
          </w:tcPr>
          <w:p w14:paraId="53E255D7" w14:textId="7F837A14"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D040441" w14:textId="6A2D9857" w:rsidR="00187874" w:rsidRDefault="00187874" w:rsidP="00187874">
            <w:r>
              <w:t>Čl. 26 odst. 4</w:t>
            </w:r>
          </w:p>
        </w:tc>
        <w:tc>
          <w:tcPr>
            <w:tcW w:w="1753" w:type="pct"/>
            <w:shd w:val="clear" w:color="auto" w:fill="auto"/>
            <w:tcMar>
              <w:top w:w="57" w:type="dxa"/>
              <w:bottom w:w="57" w:type="dxa"/>
            </w:tcMar>
          </w:tcPr>
          <w:p w14:paraId="0E2401B7" w14:textId="780BCC06" w:rsidR="00187874" w:rsidRDefault="00187874" w:rsidP="00187874">
            <w:pPr>
              <w:jc w:val="both"/>
            </w:pPr>
            <w:r w:rsidRPr="0049450D">
              <w:t>4. Pokud členské státy použijí jako kritéria pro udělení zakázky kritéria k posouzení příspěvku dražby k udržitelnosti a odolnosti, přidělí každému z nich minimální váhu 5 % a kombinovanou váhu mezi 15 % a 30 % kritérií pro udělení zakázky. Tím není dotčena možnost přidělit vyšší váhu kritériím uvedeným v odst. 2 čtvrtém pododstavci v souladu s jakýmkoli limitem pro necenová kritéria stanovená podle pravidel státní podpory.</w:t>
            </w:r>
          </w:p>
        </w:tc>
      </w:tr>
      <w:tr w:rsidR="00187874" w:rsidRPr="005D452F" w14:paraId="57D00E53" w14:textId="77777777" w:rsidTr="00A267C2">
        <w:tc>
          <w:tcPr>
            <w:tcW w:w="525" w:type="pct"/>
            <w:shd w:val="clear" w:color="auto" w:fill="auto"/>
            <w:tcMar>
              <w:top w:w="57" w:type="dxa"/>
              <w:bottom w:w="57" w:type="dxa"/>
            </w:tcMar>
          </w:tcPr>
          <w:p w14:paraId="6348FF87" w14:textId="66280EAC" w:rsidR="00187874" w:rsidRPr="00FB58A3" w:rsidRDefault="00B71775" w:rsidP="00187874">
            <w:r>
              <w:t>§ 2 odst. 2</w:t>
            </w:r>
          </w:p>
        </w:tc>
        <w:tc>
          <w:tcPr>
            <w:tcW w:w="1693" w:type="pct"/>
            <w:shd w:val="clear" w:color="auto" w:fill="auto"/>
            <w:tcMar>
              <w:top w:w="57" w:type="dxa"/>
              <w:bottom w:w="57" w:type="dxa"/>
            </w:tcMar>
          </w:tcPr>
          <w:p w14:paraId="027FC9B8" w14:textId="52CC069C" w:rsidR="00187874" w:rsidRPr="00C44BD3" w:rsidRDefault="00C44BD3" w:rsidP="00187874">
            <w:pPr>
              <w:tabs>
                <w:tab w:val="left" w:pos="0"/>
              </w:tabs>
              <w:jc w:val="both"/>
              <w:rPr>
                <w:color w:val="000000" w:themeColor="text1"/>
                <w:u w:val="single"/>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7B6A4BFE" w14:textId="271212C7"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37F2394D" w14:textId="0E490CA9" w:rsidR="00187874" w:rsidRDefault="00187874" w:rsidP="00187874">
            <w:r>
              <w:t>Čl. 26 odst. 5</w:t>
            </w:r>
          </w:p>
        </w:tc>
        <w:tc>
          <w:tcPr>
            <w:tcW w:w="1753" w:type="pct"/>
            <w:shd w:val="clear" w:color="auto" w:fill="auto"/>
            <w:tcMar>
              <w:top w:w="57" w:type="dxa"/>
              <w:bottom w:w="57" w:type="dxa"/>
            </w:tcMar>
          </w:tcPr>
          <w:p w14:paraId="628D0A46" w14:textId="7DE00432" w:rsidR="00187874" w:rsidRPr="0049450D" w:rsidRDefault="00187874" w:rsidP="00187874">
            <w:pPr>
              <w:jc w:val="both"/>
            </w:pPr>
            <w:r w:rsidRPr="0049450D">
              <w:t>5. Členské státy nejsou povinny uplatnit aspekty týkající se předvýběrových kritérií a kritérií pro udělení zakázky stanovených v odstavci 1, pokud by jim uplatněním těchto kritérií vznikly nepřiměřené náklady. Za nepřiměřené mohou členské státy považovat odhadované rozdíly v nákladech, které na základě objektivních a ověřitelných údajů přesahují 15 % na aukci.</w:t>
            </w:r>
          </w:p>
        </w:tc>
      </w:tr>
      <w:tr w:rsidR="00187874" w:rsidRPr="005D452F" w14:paraId="7673499A" w14:textId="77777777" w:rsidTr="00A267C2">
        <w:tc>
          <w:tcPr>
            <w:tcW w:w="525" w:type="pct"/>
            <w:shd w:val="clear" w:color="auto" w:fill="auto"/>
            <w:tcMar>
              <w:top w:w="57" w:type="dxa"/>
              <w:bottom w:w="57" w:type="dxa"/>
            </w:tcMar>
          </w:tcPr>
          <w:p w14:paraId="14C600D5" w14:textId="29C7B739" w:rsidR="00187874" w:rsidRPr="00FB58A3" w:rsidRDefault="00B71775" w:rsidP="00187874">
            <w:r>
              <w:t>§ 2 odst. 2</w:t>
            </w:r>
          </w:p>
        </w:tc>
        <w:tc>
          <w:tcPr>
            <w:tcW w:w="1693" w:type="pct"/>
            <w:shd w:val="clear" w:color="auto" w:fill="auto"/>
            <w:tcMar>
              <w:top w:w="57" w:type="dxa"/>
              <w:bottom w:w="57" w:type="dxa"/>
            </w:tcMar>
          </w:tcPr>
          <w:p w14:paraId="0B1AA6CD" w14:textId="21158CEC" w:rsidR="00187874" w:rsidRPr="00C44BD3" w:rsidRDefault="00C44BD3" w:rsidP="00187874">
            <w:pPr>
              <w:tabs>
                <w:tab w:val="left" w:pos="0"/>
              </w:tabs>
              <w:jc w:val="both"/>
              <w:rPr>
                <w:color w:val="000000" w:themeColor="text1"/>
                <w:u w:val="single"/>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187DBB86" w14:textId="74C9E7E7"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A8FCE3C" w14:textId="3A3B9B9D" w:rsidR="00187874" w:rsidRDefault="00187874" w:rsidP="00187874">
            <w:r>
              <w:t>Čl. 26 odst. 6</w:t>
            </w:r>
          </w:p>
        </w:tc>
        <w:tc>
          <w:tcPr>
            <w:tcW w:w="1753" w:type="pct"/>
            <w:shd w:val="clear" w:color="auto" w:fill="auto"/>
            <w:tcMar>
              <w:top w:w="57" w:type="dxa"/>
              <w:bottom w:w="57" w:type="dxa"/>
            </w:tcMar>
          </w:tcPr>
          <w:p w14:paraId="69E7A35E" w14:textId="5F71E8BD" w:rsidR="00187874" w:rsidRPr="0049450D" w:rsidRDefault="00187874" w:rsidP="00187874">
            <w:pPr>
              <w:jc w:val="both"/>
            </w:pPr>
            <w:r w:rsidRPr="0049450D">
              <w:t>6. Členské státy případně přijmou opatření k maximalizaci míry realizace projektů prostřednictvím vhodných pobídek, například uplatněním cenové indexace. Členské státy mohou posoudit, jaké účinky mají na rychlost a rozsah zavádění nabídky se zápornou cenou.</w:t>
            </w:r>
          </w:p>
        </w:tc>
      </w:tr>
      <w:tr w:rsidR="00187874" w:rsidRPr="005D452F" w14:paraId="32932EF9" w14:textId="77777777" w:rsidTr="00A267C2">
        <w:tc>
          <w:tcPr>
            <w:tcW w:w="525" w:type="pct"/>
            <w:shd w:val="clear" w:color="auto" w:fill="auto"/>
            <w:tcMar>
              <w:top w:w="57" w:type="dxa"/>
              <w:bottom w:w="57" w:type="dxa"/>
            </w:tcMar>
          </w:tcPr>
          <w:p w14:paraId="4DF79F44" w14:textId="769AE334" w:rsidR="00187874" w:rsidRPr="00FB58A3" w:rsidRDefault="00B71775" w:rsidP="00187874">
            <w:r>
              <w:t xml:space="preserve">§ </w:t>
            </w:r>
            <w:r w:rsidR="00C44BD3">
              <w:t>5</w:t>
            </w:r>
            <w:r>
              <w:t xml:space="preserve"> odst. 1</w:t>
            </w:r>
          </w:p>
        </w:tc>
        <w:tc>
          <w:tcPr>
            <w:tcW w:w="1693" w:type="pct"/>
            <w:shd w:val="clear" w:color="auto" w:fill="auto"/>
            <w:tcMar>
              <w:top w:w="57" w:type="dxa"/>
              <w:bottom w:w="57" w:type="dxa"/>
            </w:tcMar>
          </w:tcPr>
          <w:p w14:paraId="3CEC99F9" w14:textId="77777777" w:rsidR="00187874" w:rsidRDefault="00B71775" w:rsidP="00187874">
            <w:pPr>
              <w:tabs>
                <w:tab w:val="left" w:pos="0"/>
              </w:tabs>
              <w:jc w:val="both"/>
              <w:rPr>
                <w:color w:val="000000" w:themeColor="text1"/>
                <w:u w:val="single"/>
              </w:rPr>
            </w:pPr>
            <w:r w:rsidRPr="00B71775">
              <w:rPr>
                <w:color w:val="000000" w:themeColor="text1"/>
              </w:rPr>
              <w:t>(1)</w:t>
            </w:r>
            <w:r w:rsidRPr="00B71775">
              <w:rPr>
                <w:color w:val="000000" w:themeColor="text1"/>
              </w:rPr>
              <w:tab/>
            </w:r>
            <w:r w:rsidRPr="00B71775">
              <w:rPr>
                <w:color w:val="000000" w:themeColor="text1"/>
                <w:u w:val="single"/>
              </w:rPr>
              <w:t>Veřejný zadavatel</w:t>
            </w:r>
            <w:r w:rsidRPr="00B71775">
              <w:rPr>
                <w:color w:val="000000" w:themeColor="text1"/>
                <w:u w:val="single"/>
                <w:vertAlign w:val="superscript"/>
              </w:rPr>
              <w:t xml:space="preserve">3) </w:t>
            </w:r>
            <w:r w:rsidRPr="00B71775">
              <w:rPr>
                <w:color w:val="000000" w:themeColor="text1"/>
                <w:u w:val="single"/>
              </w:rPr>
              <w:t xml:space="preserve">se řídí při zadávání veřejné zakázky čl. 25, čl. 27 a čl. 49 odst. 3 nařízení Evropského parlamentu a Rady (EU) </w:t>
            </w:r>
            <w:r w:rsidRPr="00B71775">
              <w:rPr>
                <w:color w:val="000000" w:themeColor="text1"/>
                <w:u w:val="single"/>
              </w:rPr>
              <w:lastRenderedPageBreak/>
              <w:t>2024/1735. Ustanovení zákona o zadávání veřejných zakázek nejsou dotčena.</w:t>
            </w:r>
          </w:p>
          <w:p w14:paraId="7BBD3B31" w14:textId="77777777" w:rsidR="00C44BD3" w:rsidRDefault="00C44BD3" w:rsidP="00187874">
            <w:pPr>
              <w:tabs>
                <w:tab w:val="left" w:pos="0"/>
              </w:tabs>
              <w:jc w:val="both"/>
              <w:rPr>
                <w:color w:val="000000" w:themeColor="text1"/>
              </w:rPr>
            </w:pPr>
          </w:p>
          <w:p w14:paraId="2FA5CEE4" w14:textId="6C943861" w:rsidR="00C44BD3" w:rsidRPr="00B71775" w:rsidRDefault="00C44BD3" w:rsidP="00187874">
            <w:pPr>
              <w:tabs>
                <w:tab w:val="left" w:pos="0"/>
              </w:tabs>
              <w:jc w:val="both"/>
              <w:rPr>
                <w:color w:val="000000" w:themeColor="text1"/>
              </w:rPr>
            </w:pPr>
            <w:r>
              <w:rPr>
                <w:rStyle w:val="Znakapoznpodarou"/>
              </w:rPr>
              <w:t>3</w:t>
            </w:r>
            <w:r w:rsidRPr="00DD7B65">
              <w:rPr>
                <w:vertAlign w:val="superscript"/>
              </w:rPr>
              <w:t>)</w:t>
            </w:r>
            <w:r w:rsidRPr="007111FF">
              <w:t xml:space="preserve"> § 4 </w:t>
            </w:r>
            <w:r>
              <w:t xml:space="preserve">odst. 1 </w:t>
            </w:r>
            <w:r w:rsidRPr="007111FF">
              <w:t>zákona č. 134/2016 Sb., o zadávání veřejných zakázek, ve znění zákona č. 166/2023 Sb.</w:t>
            </w:r>
          </w:p>
        </w:tc>
        <w:tc>
          <w:tcPr>
            <w:tcW w:w="542" w:type="pct"/>
            <w:shd w:val="clear" w:color="auto" w:fill="auto"/>
            <w:tcMar>
              <w:top w:w="57" w:type="dxa"/>
              <w:bottom w:w="57" w:type="dxa"/>
            </w:tcMar>
          </w:tcPr>
          <w:p w14:paraId="06FEDCD8" w14:textId="52EC5BC6"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7A6B000A" w14:textId="445429E3" w:rsidR="00187874" w:rsidRDefault="00187874" w:rsidP="00187874">
            <w:r>
              <w:t>Čl. 27 odst. 1</w:t>
            </w:r>
          </w:p>
        </w:tc>
        <w:tc>
          <w:tcPr>
            <w:tcW w:w="1753" w:type="pct"/>
            <w:shd w:val="clear" w:color="auto" w:fill="auto"/>
            <w:tcMar>
              <w:top w:w="57" w:type="dxa"/>
              <w:bottom w:w="57" w:type="dxa"/>
            </w:tcMar>
          </w:tcPr>
          <w:p w14:paraId="4E478B65" w14:textId="77777777" w:rsidR="00187874" w:rsidRDefault="00187874" w:rsidP="00187874">
            <w:pPr>
              <w:jc w:val="both"/>
            </w:pPr>
            <w:r>
              <w:t>Zadávání veřejných zakázek v předobchodní fázi a zadávání veřejných zakázek na inovativní řešení</w:t>
            </w:r>
          </w:p>
          <w:p w14:paraId="75ED7AF6" w14:textId="29BB7F21" w:rsidR="00187874" w:rsidRPr="0049450D" w:rsidRDefault="00187874" w:rsidP="00187874">
            <w:pPr>
              <w:jc w:val="both"/>
            </w:pPr>
            <w:r>
              <w:lastRenderedPageBreak/>
              <w:t>1. Členské státy se ve vhodných případech snaží využívat zadávání veřejných zakázek v předobchodní fázi a zadávání veřejných zakázek na inovativní řešení s cílem podnítit v Unii inovace v oblasti technologií pro nulové čisté emise a vytvoření nové výrobní kapacity pro technologie pro nulové čisté emise. Zadávání veřejných zakázek v předobchodní fázi i zadávání veřejných zakázek na inovativní řešení mohou být na úrovni Unie doplněny o finanční prostředky v rámci stávajících programů Unie pro společné zadávání veřejných zakázek v předobchodní fázi nebo zadávání veřejných zakázek na inovativní řešení v členských státech.</w:t>
            </w:r>
          </w:p>
        </w:tc>
      </w:tr>
      <w:tr w:rsidR="00187874" w:rsidRPr="005D452F" w14:paraId="68B438BF" w14:textId="77777777" w:rsidTr="00A267C2">
        <w:tc>
          <w:tcPr>
            <w:tcW w:w="525" w:type="pct"/>
            <w:shd w:val="clear" w:color="auto" w:fill="auto"/>
            <w:tcMar>
              <w:top w:w="57" w:type="dxa"/>
              <w:bottom w:w="57" w:type="dxa"/>
            </w:tcMar>
          </w:tcPr>
          <w:p w14:paraId="2F6AB298" w14:textId="5DFEE3F2" w:rsidR="00187874" w:rsidRPr="00B71775" w:rsidRDefault="00B71775" w:rsidP="00187874">
            <w:pPr>
              <w:rPr>
                <w:color w:val="000000" w:themeColor="text1"/>
              </w:rPr>
            </w:pPr>
            <w:r>
              <w:rPr>
                <w:color w:val="000000" w:themeColor="text1"/>
              </w:rPr>
              <w:lastRenderedPageBreak/>
              <w:t xml:space="preserve">§ </w:t>
            </w:r>
            <w:r w:rsidR="00C44BD3">
              <w:rPr>
                <w:color w:val="000000" w:themeColor="text1"/>
              </w:rPr>
              <w:t>5</w:t>
            </w:r>
            <w:r>
              <w:rPr>
                <w:color w:val="000000" w:themeColor="text1"/>
              </w:rPr>
              <w:t xml:space="preserve"> odst. 2</w:t>
            </w:r>
          </w:p>
        </w:tc>
        <w:tc>
          <w:tcPr>
            <w:tcW w:w="1693" w:type="pct"/>
            <w:shd w:val="clear" w:color="auto" w:fill="auto"/>
            <w:tcMar>
              <w:top w:w="57" w:type="dxa"/>
              <w:bottom w:w="57" w:type="dxa"/>
            </w:tcMar>
          </w:tcPr>
          <w:p w14:paraId="6D2BD16A" w14:textId="450DC0F3" w:rsidR="00187874" w:rsidRPr="00C44BD3" w:rsidRDefault="00B71775" w:rsidP="00C44BD3">
            <w:pPr>
              <w:pStyle w:val="Odstavecseseznamem"/>
              <w:numPr>
                <w:ilvl w:val="0"/>
                <w:numId w:val="22"/>
              </w:numPr>
              <w:tabs>
                <w:tab w:val="left" w:pos="0"/>
              </w:tabs>
              <w:ind w:left="-89" w:firstLine="38"/>
              <w:jc w:val="both"/>
              <w:rPr>
                <w:color w:val="000000" w:themeColor="text1"/>
                <w:u w:val="single"/>
              </w:rPr>
            </w:pPr>
            <w:r w:rsidRPr="00C44BD3">
              <w:rPr>
                <w:color w:val="000000" w:themeColor="text1"/>
                <w:u w:val="single"/>
              </w:rPr>
              <w:t>Veřejný zadavatel</w:t>
            </w:r>
            <w:r w:rsidRPr="00C44BD3">
              <w:rPr>
                <w:color w:val="000000" w:themeColor="text1"/>
                <w:u w:val="single"/>
                <w:vertAlign w:val="superscript"/>
              </w:rPr>
              <w:t>3)</w:t>
            </w:r>
            <w:r w:rsidRPr="00C44BD3">
              <w:rPr>
                <w:color w:val="000000" w:themeColor="text1"/>
                <w:u w:val="single"/>
              </w:rPr>
              <w:t xml:space="preserve"> může za podmínek stanovených v čl. 28 nařízení Evropského parlamentu a Rady (EU) 2024/1735 poskytnout dodatečnou finanční podporu.</w:t>
            </w:r>
          </w:p>
          <w:p w14:paraId="65DC52B9" w14:textId="77777777" w:rsidR="00C44BD3" w:rsidRDefault="00C44BD3" w:rsidP="00C44BD3">
            <w:pPr>
              <w:tabs>
                <w:tab w:val="left" w:pos="0"/>
              </w:tabs>
              <w:ind w:left="-89" w:firstLine="38"/>
              <w:jc w:val="both"/>
              <w:rPr>
                <w:color w:val="000000" w:themeColor="text1"/>
              </w:rPr>
            </w:pPr>
          </w:p>
          <w:p w14:paraId="2B523F72" w14:textId="505E71BA" w:rsidR="00C44BD3" w:rsidRPr="00C44BD3" w:rsidRDefault="00C44BD3" w:rsidP="00C44BD3">
            <w:pPr>
              <w:tabs>
                <w:tab w:val="left" w:pos="0"/>
              </w:tabs>
              <w:ind w:left="-51"/>
              <w:jc w:val="both"/>
              <w:rPr>
                <w:color w:val="000000" w:themeColor="text1"/>
              </w:rPr>
            </w:pPr>
            <w:r>
              <w:rPr>
                <w:rStyle w:val="Znakapoznpodarou"/>
              </w:rPr>
              <w:t>3</w:t>
            </w:r>
            <w:r w:rsidRPr="00DD7B65">
              <w:rPr>
                <w:vertAlign w:val="superscript"/>
              </w:rPr>
              <w:t>)</w:t>
            </w:r>
            <w:r w:rsidRPr="007111FF">
              <w:t xml:space="preserve"> § 4 </w:t>
            </w:r>
            <w:r>
              <w:t xml:space="preserve">odst. 1 </w:t>
            </w:r>
            <w:r w:rsidRPr="007111FF">
              <w:t>zákona č. 134/2016 Sb., o zadávání veřejných zakázek, ve znění zákona č. 166/2023 Sb.</w:t>
            </w:r>
          </w:p>
        </w:tc>
        <w:tc>
          <w:tcPr>
            <w:tcW w:w="542" w:type="pct"/>
            <w:shd w:val="clear" w:color="auto" w:fill="auto"/>
            <w:tcMar>
              <w:top w:w="57" w:type="dxa"/>
              <w:bottom w:w="57" w:type="dxa"/>
            </w:tcMar>
          </w:tcPr>
          <w:p w14:paraId="0D58C42C" w14:textId="79980E36"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16A719A" w14:textId="7566AD63" w:rsidR="00187874" w:rsidRDefault="00187874" w:rsidP="00187874">
            <w:r>
              <w:t>Čl. 28 odst. 1</w:t>
            </w:r>
          </w:p>
        </w:tc>
        <w:tc>
          <w:tcPr>
            <w:tcW w:w="1753" w:type="pct"/>
            <w:shd w:val="clear" w:color="auto" w:fill="auto"/>
            <w:tcMar>
              <w:top w:w="57" w:type="dxa"/>
              <w:bottom w:w="57" w:type="dxa"/>
            </w:tcMar>
          </w:tcPr>
          <w:p w14:paraId="5349E951" w14:textId="77777777" w:rsidR="00187874" w:rsidRDefault="00187874" w:rsidP="00187874">
            <w:pPr>
              <w:jc w:val="both"/>
            </w:pPr>
            <w:r>
              <w:t>Jiné formy veřejné intervence</w:t>
            </w:r>
          </w:p>
          <w:p w14:paraId="0B94DB78" w14:textId="5588A928" w:rsidR="00187874" w:rsidRDefault="00187874" w:rsidP="00187874">
            <w:pPr>
              <w:jc w:val="both"/>
            </w:pPr>
            <w:r>
              <w:t xml:space="preserve">1. Aniž jsou dotčeny články 107 a 108 Smlouvy o fungování EU a článek 4 směrnice (EU) 2018/2001 a v souladu s mezinárodními závazky Unie, členské státy, regionální nebo místní orgány, veřejnoprávní subjekty nebo sdružení tvořená jedním nebo více z těchto orgánů nebo jedním či více z těchto veřejnoprávních subjektů při rozhodování o zavedení nových režimů nebo aktualizaci stávajících režimů ve prospěch domácností, společností nebo spotřebitelů, které je motivují k nákupu konečných produktů v oblasti technologií pro nulové čisté emise, navrhují tyto režimy tak, aby příjemce při nákupu konečných produktů v oblasti technologií pro nulové čisté emise s velkým příspěvkem k udržitelnosti a odolnosti, jak je </w:t>
            </w:r>
            <w:r>
              <w:lastRenderedPageBreak/>
              <w:t>uvedeno v odstavci 4 tohoto článku, podpořili dodatečnou přiměřenou finanční náhradou nebo podmíněním způsobilosti režimu na základě kritérií stanovených v odstavci 4 tohoto článku a zároveň vzali v úvahu dostupnost těchto režimů pro občany žijící v energetické chudobě.</w:t>
            </w:r>
          </w:p>
        </w:tc>
      </w:tr>
      <w:tr w:rsidR="00187874" w:rsidRPr="005D452F" w14:paraId="2B54E9C0" w14:textId="77777777" w:rsidTr="00A267C2">
        <w:tc>
          <w:tcPr>
            <w:tcW w:w="525" w:type="pct"/>
            <w:shd w:val="clear" w:color="auto" w:fill="auto"/>
            <w:tcMar>
              <w:top w:w="57" w:type="dxa"/>
              <w:bottom w:w="57" w:type="dxa"/>
            </w:tcMar>
          </w:tcPr>
          <w:p w14:paraId="58616878" w14:textId="244C2A3F" w:rsidR="00187874" w:rsidRPr="00FB58A3" w:rsidRDefault="00B71775" w:rsidP="00187874">
            <w:r>
              <w:rPr>
                <w:color w:val="000000" w:themeColor="text1"/>
              </w:rPr>
              <w:lastRenderedPageBreak/>
              <w:t xml:space="preserve">§ </w:t>
            </w:r>
            <w:r w:rsidR="00BF4E34">
              <w:rPr>
                <w:color w:val="000000" w:themeColor="text1"/>
              </w:rPr>
              <w:t>5</w:t>
            </w:r>
            <w:r>
              <w:rPr>
                <w:color w:val="000000" w:themeColor="text1"/>
              </w:rPr>
              <w:t xml:space="preserve"> odst. 2</w:t>
            </w:r>
          </w:p>
        </w:tc>
        <w:tc>
          <w:tcPr>
            <w:tcW w:w="1693" w:type="pct"/>
            <w:shd w:val="clear" w:color="auto" w:fill="auto"/>
            <w:tcMar>
              <w:top w:w="57" w:type="dxa"/>
              <w:bottom w:w="57" w:type="dxa"/>
            </w:tcMar>
          </w:tcPr>
          <w:p w14:paraId="508B1979" w14:textId="77777777" w:rsidR="00BF4E34" w:rsidRDefault="00B71775" w:rsidP="00BF4E34">
            <w:pPr>
              <w:pStyle w:val="Odstavecseseznamem"/>
              <w:numPr>
                <w:ilvl w:val="0"/>
                <w:numId w:val="22"/>
              </w:numPr>
              <w:tabs>
                <w:tab w:val="left" w:pos="0"/>
              </w:tabs>
              <w:ind w:left="0" w:firstLine="0"/>
              <w:jc w:val="both"/>
              <w:rPr>
                <w:color w:val="000000" w:themeColor="text1"/>
                <w:u w:val="single"/>
              </w:rPr>
            </w:pPr>
            <w:r w:rsidRPr="00BF4E34">
              <w:rPr>
                <w:color w:val="000000" w:themeColor="text1"/>
                <w:u w:val="single"/>
              </w:rPr>
              <w:t>Veřejný zadavatel</w:t>
            </w:r>
            <w:r w:rsidRPr="00BF4E34">
              <w:rPr>
                <w:color w:val="000000" w:themeColor="text1"/>
                <w:u w:val="single"/>
                <w:vertAlign w:val="superscript"/>
              </w:rPr>
              <w:t>3)</w:t>
            </w:r>
            <w:r w:rsidRPr="00BF4E34">
              <w:rPr>
                <w:color w:val="000000" w:themeColor="text1"/>
                <w:u w:val="single"/>
              </w:rPr>
              <w:t xml:space="preserve"> může za podmínek stanovených v čl. 28 nařízení Evropského parlamentu a Rady (EU) 2024/1735 poskytnout dodatečnou finanční podporu.</w:t>
            </w:r>
          </w:p>
          <w:p w14:paraId="6BD753A8" w14:textId="77777777" w:rsidR="00BF4E34" w:rsidRDefault="00BF4E34" w:rsidP="00BF4E34">
            <w:pPr>
              <w:tabs>
                <w:tab w:val="left" w:pos="0"/>
              </w:tabs>
              <w:jc w:val="both"/>
              <w:rPr>
                <w:color w:val="000000" w:themeColor="text1"/>
                <w:u w:val="single"/>
              </w:rPr>
            </w:pPr>
          </w:p>
          <w:p w14:paraId="2BF1AC58" w14:textId="3EB148FF" w:rsidR="00BF4E34" w:rsidRPr="00BF4E34" w:rsidRDefault="00BF4E34" w:rsidP="00BF4E34">
            <w:pPr>
              <w:tabs>
                <w:tab w:val="left" w:pos="0"/>
              </w:tabs>
              <w:jc w:val="both"/>
              <w:rPr>
                <w:color w:val="000000" w:themeColor="text1"/>
                <w:u w:val="single"/>
              </w:rPr>
            </w:pPr>
            <w:r>
              <w:rPr>
                <w:rStyle w:val="Znakapoznpodarou"/>
              </w:rPr>
              <w:t>3</w:t>
            </w:r>
            <w:r w:rsidRPr="00DD7B65">
              <w:rPr>
                <w:vertAlign w:val="superscript"/>
              </w:rPr>
              <w:t>)</w:t>
            </w:r>
            <w:r w:rsidRPr="007111FF">
              <w:t xml:space="preserve"> § 4 </w:t>
            </w:r>
            <w:r>
              <w:t xml:space="preserve">odst. 1 </w:t>
            </w:r>
            <w:r w:rsidRPr="007111FF">
              <w:t>zákona č. 134/2016 Sb., o zadávání veřejných zakázek, ve znění zákona č. 166/2023 Sb.</w:t>
            </w:r>
          </w:p>
        </w:tc>
        <w:tc>
          <w:tcPr>
            <w:tcW w:w="542" w:type="pct"/>
            <w:shd w:val="clear" w:color="auto" w:fill="auto"/>
            <w:tcMar>
              <w:top w:w="57" w:type="dxa"/>
              <w:bottom w:w="57" w:type="dxa"/>
            </w:tcMar>
          </w:tcPr>
          <w:p w14:paraId="716D8342" w14:textId="248D5DD5"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11516C45" w14:textId="2C4BFE7B" w:rsidR="00187874" w:rsidRDefault="00187874" w:rsidP="00187874">
            <w:r>
              <w:t>Čl. 28 odst. 2</w:t>
            </w:r>
          </w:p>
        </w:tc>
        <w:tc>
          <w:tcPr>
            <w:tcW w:w="1753" w:type="pct"/>
            <w:shd w:val="clear" w:color="auto" w:fill="auto"/>
            <w:tcMar>
              <w:top w:w="57" w:type="dxa"/>
              <w:bottom w:w="57" w:type="dxa"/>
            </w:tcMar>
          </w:tcPr>
          <w:p w14:paraId="7BB35F1E" w14:textId="28203015" w:rsidR="00187874" w:rsidRDefault="00187874" w:rsidP="00187874">
            <w:pPr>
              <w:jc w:val="both"/>
            </w:pPr>
            <w:r w:rsidRPr="0017573E">
              <w:t>2. Dodatečná finanční náhrada poskytnutá orgány v souladu s odstavcem 1 tohoto článku v důsledku uplatnění kritérií uvedených v odst. 4 prvním pododstavci uvozující větě a písm. b) a c) tohoto článku nepřesáhne 5 % nákladů spotřebitele na konečný produkt v oblasti technologií pro nulové čisté emise, s výjimkou režimů zaměřených na občany žijící v energetické chudobě ve smyslu čl. 2 bodu 1 nařízení Evropského parlamentu a Rady (EU) 2023/955 (57), u nichž je limit 15 %.</w:t>
            </w:r>
          </w:p>
        </w:tc>
      </w:tr>
      <w:tr w:rsidR="00187874" w:rsidRPr="005D452F" w14:paraId="5FEA79F9" w14:textId="77777777" w:rsidTr="00A267C2">
        <w:tc>
          <w:tcPr>
            <w:tcW w:w="525" w:type="pct"/>
            <w:shd w:val="clear" w:color="auto" w:fill="auto"/>
            <w:tcMar>
              <w:top w:w="57" w:type="dxa"/>
              <w:bottom w:w="57" w:type="dxa"/>
            </w:tcMar>
          </w:tcPr>
          <w:p w14:paraId="6904621B" w14:textId="3067B682" w:rsidR="00187874" w:rsidRPr="00FB58A3" w:rsidRDefault="00B71775" w:rsidP="00187874">
            <w:r>
              <w:rPr>
                <w:color w:val="000000" w:themeColor="text1"/>
              </w:rPr>
              <w:t xml:space="preserve">§ </w:t>
            </w:r>
            <w:r w:rsidR="00BF4E34">
              <w:rPr>
                <w:color w:val="000000" w:themeColor="text1"/>
              </w:rPr>
              <w:t>5</w:t>
            </w:r>
            <w:r>
              <w:rPr>
                <w:color w:val="000000" w:themeColor="text1"/>
              </w:rPr>
              <w:t xml:space="preserve"> odst. 2</w:t>
            </w:r>
          </w:p>
        </w:tc>
        <w:tc>
          <w:tcPr>
            <w:tcW w:w="1693" w:type="pct"/>
            <w:shd w:val="clear" w:color="auto" w:fill="auto"/>
            <w:tcMar>
              <w:top w:w="57" w:type="dxa"/>
              <w:bottom w:w="57" w:type="dxa"/>
            </w:tcMar>
          </w:tcPr>
          <w:p w14:paraId="2E077505" w14:textId="77777777" w:rsidR="00BF4E34" w:rsidRDefault="00B71775" w:rsidP="00BF4E34">
            <w:pPr>
              <w:pStyle w:val="Odstavecseseznamem"/>
              <w:numPr>
                <w:ilvl w:val="0"/>
                <w:numId w:val="23"/>
              </w:numPr>
              <w:tabs>
                <w:tab w:val="left" w:pos="0"/>
              </w:tabs>
              <w:ind w:left="0" w:firstLine="0"/>
              <w:jc w:val="both"/>
              <w:rPr>
                <w:color w:val="000000" w:themeColor="text1"/>
                <w:u w:val="single"/>
              </w:rPr>
            </w:pPr>
            <w:r w:rsidRPr="00BF4E34">
              <w:rPr>
                <w:color w:val="000000" w:themeColor="text1"/>
                <w:u w:val="single"/>
              </w:rPr>
              <w:t>Veřejný zadavatel</w:t>
            </w:r>
            <w:r w:rsidRPr="00BF4E34">
              <w:rPr>
                <w:color w:val="000000" w:themeColor="text1"/>
                <w:u w:val="single"/>
                <w:vertAlign w:val="superscript"/>
              </w:rPr>
              <w:t>3)</w:t>
            </w:r>
            <w:r w:rsidRPr="00BF4E34">
              <w:rPr>
                <w:color w:val="000000" w:themeColor="text1"/>
                <w:u w:val="single"/>
              </w:rPr>
              <w:t xml:space="preserve"> může za podmínek stanovených v čl. 28 nařízení Evropského parlamentu a Rady (EU) 2024/1735 poskytnout dodatečnou finanční podporu.</w:t>
            </w:r>
          </w:p>
          <w:p w14:paraId="11525A6A" w14:textId="77777777" w:rsidR="00BF4E34" w:rsidRDefault="00BF4E34" w:rsidP="00BF4E34">
            <w:pPr>
              <w:tabs>
                <w:tab w:val="left" w:pos="0"/>
              </w:tabs>
              <w:jc w:val="both"/>
              <w:rPr>
                <w:color w:val="000000" w:themeColor="text1"/>
                <w:u w:val="single"/>
              </w:rPr>
            </w:pPr>
          </w:p>
          <w:p w14:paraId="68348A83" w14:textId="1F634297" w:rsidR="00BF4E34" w:rsidRPr="00BF4E34" w:rsidRDefault="00BF4E34" w:rsidP="00BF4E34">
            <w:pPr>
              <w:tabs>
                <w:tab w:val="left" w:pos="0"/>
              </w:tabs>
              <w:jc w:val="both"/>
              <w:rPr>
                <w:color w:val="000000" w:themeColor="text1"/>
                <w:u w:val="single"/>
              </w:rPr>
            </w:pPr>
            <w:r>
              <w:rPr>
                <w:rStyle w:val="Znakapoznpodarou"/>
              </w:rPr>
              <w:t>3</w:t>
            </w:r>
            <w:r w:rsidRPr="00DD7B65">
              <w:rPr>
                <w:vertAlign w:val="superscript"/>
              </w:rPr>
              <w:t>)</w:t>
            </w:r>
            <w:r w:rsidRPr="007111FF">
              <w:t xml:space="preserve"> § 4 </w:t>
            </w:r>
            <w:r>
              <w:t xml:space="preserve">odst. 1 </w:t>
            </w:r>
            <w:r w:rsidRPr="007111FF">
              <w:t>zákona č. 134/2016 Sb., o zadávání veřejných zakázek, ve znění zákona č. 166/2023 Sb.</w:t>
            </w:r>
          </w:p>
        </w:tc>
        <w:tc>
          <w:tcPr>
            <w:tcW w:w="542" w:type="pct"/>
            <w:shd w:val="clear" w:color="auto" w:fill="auto"/>
            <w:tcMar>
              <w:top w:w="57" w:type="dxa"/>
              <w:bottom w:w="57" w:type="dxa"/>
            </w:tcMar>
          </w:tcPr>
          <w:p w14:paraId="42B2B93A" w14:textId="647BB668"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5D78C6A7" w14:textId="31118A59" w:rsidR="00187874" w:rsidRDefault="00187874" w:rsidP="00187874">
            <w:r>
              <w:t>Čl. 28 odst. 3</w:t>
            </w:r>
          </w:p>
        </w:tc>
        <w:tc>
          <w:tcPr>
            <w:tcW w:w="1753" w:type="pct"/>
            <w:shd w:val="clear" w:color="auto" w:fill="auto"/>
            <w:tcMar>
              <w:top w:w="57" w:type="dxa"/>
              <w:bottom w:w="57" w:type="dxa"/>
            </w:tcMar>
          </w:tcPr>
          <w:p w14:paraId="7D69D3AC" w14:textId="326BDD91" w:rsidR="00187874" w:rsidRPr="0017573E" w:rsidRDefault="00187874" w:rsidP="00187874">
            <w:pPr>
              <w:jc w:val="both"/>
            </w:pPr>
            <w:r w:rsidRPr="0017573E">
              <w:t>3. Při navrhování a provádění režimu podle odstavce 1 daný orgán na základě otevřeného, nediskriminačního a transparentního postupu posoudí příspěvek dostupných konečných produktů v oblasti technologií pro nulové čisté emise na trhu k odolnosti a udržitelnosti. Právo požádat o zapojení do režimu se vztahuje na jakýkoli takový konečný produkt. Orgán stanoví u konečných produktů v oblasti technologií pro nulové emise minimální požadovaný počet bodů pro získání způsobilosti k dodatečné finanční náhradě v rámci režimu podpory.</w:t>
            </w:r>
          </w:p>
        </w:tc>
      </w:tr>
      <w:tr w:rsidR="00187874" w:rsidRPr="005D452F" w14:paraId="20B9434A" w14:textId="77777777" w:rsidTr="00A267C2">
        <w:tc>
          <w:tcPr>
            <w:tcW w:w="525" w:type="pct"/>
            <w:shd w:val="clear" w:color="auto" w:fill="auto"/>
            <w:tcMar>
              <w:top w:w="57" w:type="dxa"/>
              <w:bottom w:w="57" w:type="dxa"/>
            </w:tcMar>
          </w:tcPr>
          <w:p w14:paraId="4B2A5871" w14:textId="1A0651E2" w:rsidR="00187874" w:rsidRPr="00FB58A3" w:rsidRDefault="00B71775" w:rsidP="00187874">
            <w:r>
              <w:rPr>
                <w:color w:val="000000" w:themeColor="text1"/>
              </w:rPr>
              <w:t xml:space="preserve">§ </w:t>
            </w:r>
            <w:r w:rsidR="003A0673">
              <w:rPr>
                <w:color w:val="000000" w:themeColor="text1"/>
              </w:rPr>
              <w:t>2</w:t>
            </w:r>
            <w:r>
              <w:rPr>
                <w:color w:val="000000" w:themeColor="text1"/>
              </w:rPr>
              <w:t xml:space="preserve"> odst. 2</w:t>
            </w:r>
          </w:p>
        </w:tc>
        <w:tc>
          <w:tcPr>
            <w:tcW w:w="1693" w:type="pct"/>
            <w:shd w:val="clear" w:color="auto" w:fill="auto"/>
            <w:tcMar>
              <w:top w:w="57" w:type="dxa"/>
              <w:bottom w:w="57" w:type="dxa"/>
            </w:tcMar>
          </w:tcPr>
          <w:p w14:paraId="328FB6A0" w14:textId="40E4021E" w:rsidR="00187874" w:rsidRDefault="00AA2D14" w:rsidP="00187874">
            <w:pPr>
              <w:tabs>
                <w:tab w:val="left" w:pos="0"/>
              </w:tabs>
              <w:jc w:val="both"/>
              <w:rPr>
                <w:color w:val="538135" w:themeColor="accent6" w:themeShade="BF"/>
              </w:rPr>
            </w:pPr>
            <w:r w:rsidRPr="00C44BD3">
              <w:rPr>
                <w:color w:val="000000" w:themeColor="text1"/>
              </w:rPr>
              <w:t>(2)</w:t>
            </w:r>
            <w:r w:rsidRPr="00C44BD3">
              <w:rPr>
                <w:color w:val="000000" w:themeColor="text1"/>
              </w:rPr>
              <w:tab/>
            </w:r>
            <w:r w:rsidRPr="00C44BD3">
              <w:rPr>
                <w:color w:val="000000" w:themeColor="text1"/>
                <w:u w:val="single"/>
              </w:rPr>
              <w:t xml:space="preserve">Ministerstvo plní povinnosti a vykonává pravomoci stanovené členským </w:t>
            </w:r>
            <w:r w:rsidRPr="00C44BD3">
              <w:rPr>
                <w:color w:val="000000" w:themeColor="text1"/>
                <w:u w:val="single"/>
              </w:rPr>
              <w:lastRenderedPageBreak/>
              <w:t>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4E5DEE38" w14:textId="7D620D18" w:rsidR="00187874" w:rsidRPr="00163132" w:rsidRDefault="00187874" w:rsidP="00187874">
            <w:pPr>
              <w:rPr>
                <w:color w:val="333333"/>
                <w:shd w:val="clear" w:color="auto" w:fill="FFFFFF"/>
              </w:rPr>
            </w:pPr>
            <w:r w:rsidRPr="00163132">
              <w:rPr>
                <w:color w:val="333333"/>
                <w:shd w:val="clear" w:color="auto" w:fill="FFFFFF"/>
              </w:rPr>
              <w:lastRenderedPageBreak/>
              <w:t>32024R1735</w:t>
            </w:r>
          </w:p>
        </w:tc>
        <w:tc>
          <w:tcPr>
            <w:tcW w:w="487" w:type="pct"/>
            <w:shd w:val="clear" w:color="auto" w:fill="auto"/>
            <w:tcMar>
              <w:top w:w="57" w:type="dxa"/>
              <w:bottom w:w="57" w:type="dxa"/>
            </w:tcMar>
          </w:tcPr>
          <w:p w14:paraId="0488A8DF" w14:textId="36B3CCC8" w:rsidR="00187874" w:rsidRDefault="00187874" w:rsidP="00187874">
            <w:r>
              <w:t>Čl. 28 odst. 5</w:t>
            </w:r>
          </w:p>
        </w:tc>
        <w:tc>
          <w:tcPr>
            <w:tcW w:w="1753" w:type="pct"/>
            <w:shd w:val="clear" w:color="auto" w:fill="auto"/>
            <w:tcMar>
              <w:top w:w="57" w:type="dxa"/>
              <w:bottom w:w="57" w:type="dxa"/>
            </w:tcMar>
          </w:tcPr>
          <w:p w14:paraId="09C33447" w14:textId="7F69EEEF" w:rsidR="00187874" w:rsidRPr="0017573E" w:rsidRDefault="00187874" w:rsidP="00187874">
            <w:pPr>
              <w:jc w:val="both"/>
            </w:pPr>
            <w:r w:rsidRPr="008F64EF">
              <w:t xml:space="preserve">5. Členské státy zveřejní na jediné volně přístupné internetové stránce veškeré informace </w:t>
            </w:r>
            <w:r w:rsidRPr="008F64EF">
              <w:lastRenderedPageBreak/>
              <w:t>týkající se režimů podle odstavce 1, a to pro každý relevantní konečný produkt v oblasti technologií pro nulové čisté emise.</w:t>
            </w:r>
          </w:p>
        </w:tc>
      </w:tr>
      <w:tr w:rsidR="00187874" w:rsidRPr="005D452F" w14:paraId="52F23F97" w14:textId="77777777" w:rsidTr="00A267C2">
        <w:tc>
          <w:tcPr>
            <w:tcW w:w="525" w:type="pct"/>
            <w:shd w:val="clear" w:color="auto" w:fill="auto"/>
            <w:tcMar>
              <w:top w:w="57" w:type="dxa"/>
              <w:bottom w:w="57" w:type="dxa"/>
            </w:tcMar>
          </w:tcPr>
          <w:p w14:paraId="6B27FA80" w14:textId="2D3225D0" w:rsidR="00187874" w:rsidRPr="00FB58A3" w:rsidRDefault="003A0673" w:rsidP="00187874">
            <w:r>
              <w:lastRenderedPageBreak/>
              <w:t>§ 2 odst. 3</w:t>
            </w:r>
          </w:p>
        </w:tc>
        <w:tc>
          <w:tcPr>
            <w:tcW w:w="1693" w:type="pct"/>
            <w:shd w:val="clear" w:color="auto" w:fill="auto"/>
            <w:tcMar>
              <w:top w:w="57" w:type="dxa"/>
              <w:bottom w:w="57" w:type="dxa"/>
            </w:tcMar>
          </w:tcPr>
          <w:p w14:paraId="77C1ECC5" w14:textId="6A66A883" w:rsidR="00187874" w:rsidRPr="003A0673" w:rsidRDefault="003A0673" w:rsidP="003A0673">
            <w:pPr>
              <w:pStyle w:val="Odstavecseseznamem"/>
              <w:numPr>
                <w:ilvl w:val="0"/>
                <w:numId w:val="20"/>
              </w:numPr>
              <w:tabs>
                <w:tab w:val="left" w:pos="0"/>
              </w:tabs>
              <w:ind w:left="0" w:firstLine="0"/>
              <w:jc w:val="both"/>
              <w:rPr>
                <w:color w:val="538135" w:themeColor="accent6" w:themeShade="BF"/>
                <w:u w:val="single"/>
              </w:rPr>
            </w:pPr>
            <w:r w:rsidRPr="003A0673">
              <w:rPr>
                <w:color w:val="000000" w:themeColor="text1"/>
                <w:u w:val="single"/>
              </w:rPr>
              <w:t>Ministerstvo školství je příslušným vnitrostátním orgánem a plní povinnosti a vykonává pravomoci stanovené členským státům v čl. 31 a čl. 46 odst. 5 nařízení Evropského parlamentu a Rady (EU) 2024/1735.</w:t>
            </w:r>
          </w:p>
        </w:tc>
        <w:tc>
          <w:tcPr>
            <w:tcW w:w="542" w:type="pct"/>
            <w:shd w:val="clear" w:color="auto" w:fill="auto"/>
            <w:tcMar>
              <w:top w:w="57" w:type="dxa"/>
              <w:bottom w:w="57" w:type="dxa"/>
            </w:tcMar>
          </w:tcPr>
          <w:p w14:paraId="65A52D89" w14:textId="74DC57FB"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0CD0D73C" w14:textId="0461E339" w:rsidR="00187874" w:rsidRDefault="00187874" w:rsidP="00187874">
            <w:r>
              <w:t>Čl. 31 odst. 1</w:t>
            </w:r>
          </w:p>
        </w:tc>
        <w:tc>
          <w:tcPr>
            <w:tcW w:w="1753" w:type="pct"/>
            <w:shd w:val="clear" w:color="auto" w:fill="auto"/>
            <w:tcMar>
              <w:top w:w="57" w:type="dxa"/>
              <w:bottom w:w="57" w:type="dxa"/>
            </w:tcMar>
          </w:tcPr>
          <w:p w14:paraId="7FBF76F5" w14:textId="77777777" w:rsidR="00187874" w:rsidRDefault="00187874" w:rsidP="00187874">
            <w:pPr>
              <w:jc w:val="both"/>
            </w:pPr>
            <w:r>
              <w:t>Regulovaná povolání v průmyslových odvětvích technologií pro nulové čisté emise a uznávání odborných kvalifikací</w:t>
            </w:r>
          </w:p>
          <w:p w14:paraId="6F43A10B" w14:textId="77777777" w:rsidR="00187874" w:rsidRDefault="00187874" w:rsidP="00187874">
            <w:pPr>
              <w:jc w:val="both"/>
            </w:pPr>
            <w:r>
              <w:t>1. Do devíti měsíců po dokončení vzdělávacího obsahu a materiálů vypracovaných akademií a každé dva roky poté usilují členské státy o určení toho, zda jsou vzdělávací programy vypracované danou akademií rovnocenné konkrétním kvalifikacím požadovaným hostitelským členským státem pro přístup k regulovaným činnostem v rámci určitého povolání s konkrétním přínosem z hlediska průmyslu technologií pro nulové čisté emise v daném členském státě. Členské státy zajistí, aby výsledky posouzení byly zveřejněny a snadno dostupné online. V případě, že vzdělávací programy nejsou považovány za rovnocenné kvalifikacím požadovaným hostitelským členským státem pro přístup k regulovaným činnostem, nebo pokud členský stát neusiloval o určení rovnocennosti, informuje tento členský stát platformu a poskytne relevantní informace týkající se:</w:t>
            </w:r>
          </w:p>
          <w:p w14:paraId="10860F92" w14:textId="77777777" w:rsidR="00187874" w:rsidRDefault="00187874" w:rsidP="00187874">
            <w:pPr>
              <w:jc w:val="both"/>
            </w:pPr>
            <w:r>
              <w:t>a) odůvodnění toho, proč nebylo určení rovnocennosti provedeno; nebo</w:t>
            </w:r>
          </w:p>
          <w:p w14:paraId="42DDD2F1" w14:textId="02100F29" w:rsidR="00187874" w:rsidRPr="008F64EF" w:rsidRDefault="00187874" w:rsidP="00187874">
            <w:pPr>
              <w:jc w:val="both"/>
            </w:pPr>
            <w:r>
              <w:lastRenderedPageBreak/>
              <w:t>b) rozdílů mezi vzdělávacími programy vypracovanými akademiemi a konkrétními kvalifikacemi požadovanými daným hostitelským členským státem a způsobu, jak rovnocennosti dosáhnout.</w:t>
            </w:r>
          </w:p>
        </w:tc>
      </w:tr>
      <w:tr w:rsidR="00187874" w:rsidRPr="005D452F" w14:paraId="6F2767BF" w14:textId="77777777" w:rsidTr="00A267C2">
        <w:tc>
          <w:tcPr>
            <w:tcW w:w="525" w:type="pct"/>
            <w:shd w:val="clear" w:color="auto" w:fill="auto"/>
            <w:tcMar>
              <w:top w:w="57" w:type="dxa"/>
              <w:bottom w:w="57" w:type="dxa"/>
            </w:tcMar>
          </w:tcPr>
          <w:p w14:paraId="076AF6F1" w14:textId="738C4A63" w:rsidR="00187874" w:rsidRPr="00FB58A3" w:rsidRDefault="003A0673" w:rsidP="00187874">
            <w:r>
              <w:lastRenderedPageBreak/>
              <w:t>§ 2 odst. 3</w:t>
            </w:r>
          </w:p>
        </w:tc>
        <w:tc>
          <w:tcPr>
            <w:tcW w:w="1693" w:type="pct"/>
            <w:shd w:val="clear" w:color="auto" w:fill="auto"/>
            <w:tcMar>
              <w:top w:w="57" w:type="dxa"/>
              <w:bottom w:w="57" w:type="dxa"/>
            </w:tcMar>
          </w:tcPr>
          <w:p w14:paraId="2D902AD5" w14:textId="5E4AD48C" w:rsidR="00187874" w:rsidRDefault="003A0673" w:rsidP="00187874">
            <w:pPr>
              <w:tabs>
                <w:tab w:val="left" w:pos="0"/>
              </w:tabs>
              <w:jc w:val="both"/>
              <w:rPr>
                <w:color w:val="538135" w:themeColor="accent6" w:themeShade="BF"/>
              </w:rPr>
            </w:pPr>
            <w:r w:rsidRPr="003A0673">
              <w:rPr>
                <w:color w:val="000000" w:themeColor="text1"/>
              </w:rPr>
              <w:t>(3)</w:t>
            </w:r>
            <w:r w:rsidRPr="003A0673">
              <w:rPr>
                <w:color w:val="000000" w:themeColor="text1"/>
              </w:rPr>
              <w:tab/>
            </w:r>
            <w:r w:rsidRPr="003A0673">
              <w:rPr>
                <w:color w:val="000000" w:themeColor="text1"/>
                <w:u w:val="single"/>
              </w:rPr>
              <w:t>Ministerstvo školství je příslušným vnitrostátním orgánem a plní povinnosti a vykonává pravomoci stanovené členským státům v čl. 31 a čl. 46 odst. 5 nařízení Evropského parlamentu a Rady (EU) 2024/1735.</w:t>
            </w:r>
          </w:p>
        </w:tc>
        <w:tc>
          <w:tcPr>
            <w:tcW w:w="542" w:type="pct"/>
            <w:shd w:val="clear" w:color="auto" w:fill="auto"/>
            <w:tcMar>
              <w:top w:w="57" w:type="dxa"/>
              <w:bottom w:w="57" w:type="dxa"/>
            </w:tcMar>
          </w:tcPr>
          <w:p w14:paraId="0EC7F876" w14:textId="3B30CDAF"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8937A7F" w14:textId="127B1F31" w:rsidR="00187874" w:rsidRDefault="00187874" w:rsidP="00187874">
            <w:r>
              <w:t>Čl. 31 odst. 2</w:t>
            </w:r>
          </w:p>
        </w:tc>
        <w:tc>
          <w:tcPr>
            <w:tcW w:w="1753" w:type="pct"/>
            <w:shd w:val="clear" w:color="auto" w:fill="auto"/>
            <w:tcMar>
              <w:top w:w="57" w:type="dxa"/>
              <w:bottom w:w="57" w:type="dxa"/>
            </w:tcMar>
          </w:tcPr>
          <w:p w14:paraId="3CCF1362" w14:textId="71D59F20" w:rsidR="00187874" w:rsidRDefault="00187874" w:rsidP="00187874">
            <w:pPr>
              <w:jc w:val="both"/>
            </w:pPr>
            <w:r w:rsidRPr="007322A9">
              <w:t>2. Pokud členský stát dospěje k závěru, že vzdělávací programy vypracované akademií jsou rovnocenné konkrétním kvalifikacím požadovaným hostitelským členským státem pro přístup k regulovaným povoláním, usnadní v souladu s hlavou III kapitolou I směrnice 2005/36/ES uznávání certifikátů vydaných poskytovateli vzdělávání a odborné přípravy na základě vzdělávacích programů vypracovaných akademiemi, pokud držitel takového certifikátu požádá o přístup k regulovanému povolání ve smyslu čl. 3 odst. 1 písm. a) směrnice 2005/36/ES, jež má zvláštní význam pro průmysl technologií pro nulové čisté emise, a to tím, že bude certifikát považovat za dostatečný doklad o dosažené kvalifikaci v souladu s článkem 11 směrnice 2005/36/ES.</w:t>
            </w:r>
          </w:p>
        </w:tc>
      </w:tr>
      <w:tr w:rsidR="00187874" w:rsidRPr="005D452F" w14:paraId="787446CC" w14:textId="77777777" w:rsidTr="00A267C2">
        <w:tc>
          <w:tcPr>
            <w:tcW w:w="525" w:type="pct"/>
            <w:shd w:val="clear" w:color="auto" w:fill="auto"/>
            <w:tcMar>
              <w:top w:w="57" w:type="dxa"/>
              <w:bottom w:w="57" w:type="dxa"/>
            </w:tcMar>
          </w:tcPr>
          <w:p w14:paraId="0BB4A125" w14:textId="3B10DA11" w:rsidR="00187874" w:rsidRPr="00FB58A3" w:rsidRDefault="003A0673" w:rsidP="00187874">
            <w:r>
              <w:t>§ 2 odst. 3</w:t>
            </w:r>
          </w:p>
        </w:tc>
        <w:tc>
          <w:tcPr>
            <w:tcW w:w="1693" w:type="pct"/>
            <w:shd w:val="clear" w:color="auto" w:fill="auto"/>
            <w:tcMar>
              <w:top w:w="57" w:type="dxa"/>
              <w:bottom w:w="57" w:type="dxa"/>
            </w:tcMar>
          </w:tcPr>
          <w:p w14:paraId="2B96C0A4" w14:textId="574253C5" w:rsidR="00187874" w:rsidRDefault="003A0673" w:rsidP="00187874">
            <w:pPr>
              <w:tabs>
                <w:tab w:val="left" w:pos="0"/>
              </w:tabs>
              <w:jc w:val="both"/>
              <w:rPr>
                <w:color w:val="538135" w:themeColor="accent6" w:themeShade="BF"/>
              </w:rPr>
            </w:pPr>
            <w:r w:rsidRPr="003A0673">
              <w:rPr>
                <w:color w:val="000000" w:themeColor="text1"/>
              </w:rPr>
              <w:t>(3)</w:t>
            </w:r>
            <w:r w:rsidRPr="003A0673">
              <w:rPr>
                <w:color w:val="000000" w:themeColor="text1"/>
              </w:rPr>
              <w:tab/>
            </w:r>
            <w:r w:rsidRPr="003A0673">
              <w:rPr>
                <w:color w:val="000000" w:themeColor="text1"/>
                <w:u w:val="single"/>
              </w:rPr>
              <w:t>Ministerstvo školství je příslušným vnitrostátním orgánem a plní povinnosti a vykonává pravomoci stanovené členským státům v čl. 31 a čl. 46 odst. 5 nařízení Evropského parlamentu a Rady (EU) 2024/1735.</w:t>
            </w:r>
          </w:p>
        </w:tc>
        <w:tc>
          <w:tcPr>
            <w:tcW w:w="542" w:type="pct"/>
            <w:shd w:val="clear" w:color="auto" w:fill="auto"/>
            <w:tcMar>
              <w:top w:w="57" w:type="dxa"/>
              <w:bottom w:w="57" w:type="dxa"/>
            </w:tcMar>
          </w:tcPr>
          <w:p w14:paraId="51690FE5" w14:textId="2A968F74"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4693A67F" w14:textId="50FDEFE9" w:rsidR="00187874" w:rsidRDefault="00187874" w:rsidP="00187874">
            <w:r>
              <w:t>Čl. 31 odst. 3</w:t>
            </w:r>
          </w:p>
        </w:tc>
        <w:tc>
          <w:tcPr>
            <w:tcW w:w="1753" w:type="pct"/>
            <w:shd w:val="clear" w:color="auto" w:fill="auto"/>
            <w:tcMar>
              <w:top w:w="57" w:type="dxa"/>
              <w:bottom w:w="57" w:type="dxa"/>
            </w:tcMar>
          </w:tcPr>
          <w:p w14:paraId="29673BF7" w14:textId="39FF3811" w:rsidR="00187874" w:rsidRPr="007322A9" w:rsidRDefault="00187874" w:rsidP="00187874">
            <w:pPr>
              <w:jc w:val="both"/>
            </w:pPr>
            <w:r w:rsidRPr="007322A9">
              <w:t xml:space="preserve">3. Je-li přístup k povolání zvláštního významu pro průmysl technologií pro nulové čisté emise regulován ve smyslu čl. 3 odst. 1 písm. a) směrnice 2005/36/ES, členské státy usilují o vytvoření společného souboru minimálních znalostí, dovedností a schopností nezbytných k výkonu tohoto konkrétního povolání za účelem zřízení společného rámce odborné přípravy uvedeného v čl. 49a odst. 1 směrnice </w:t>
            </w:r>
            <w:r w:rsidRPr="007322A9">
              <w:lastRenderedPageBreak/>
              <w:t>2005/36/ES, jenž umožní automatické uznávání kvalifikací. Návrhy na společné rámce odborné přípravy podle čl. 49a odst. 3 směrnice 2005/36/ES může předkládat také platforma.</w:t>
            </w:r>
          </w:p>
        </w:tc>
      </w:tr>
      <w:tr w:rsidR="00187874" w:rsidRPr="005D452F" w14:paraId="17D6125C" w14:textId="77777777" w:rsidTr="00A267C2">
        <w:tc>
          <w:tcPr>
            <w:tcW w:w="525" w:type="pct"/>
            <w:shd w:val="clear" w:color="auto" w:fill="auto"/>
            <w:tcMar>
              <w:top w:w="57" w:type="dxa"/>
              <w:bottom w:w="57" w:type="dxa"/>
            </w:tcMar>
          </w:tcPr>
          <w:p w14:paraId="15014121" w14:textId="77777777" w:rsidR="00187874" w:rsidRPr="00FB58A3" w:rsidRDefault="00187874" w:rsidP="00187874"/>
        </w:tc>
        <w:tc>
          <w:tcPr>
            <w:tcW w:w="1693" w:type="pct"/>
            <w:shd w:val="clear" w:color="auto" w:fill="auto"/>
            <w:tcMar>
              <w:top w:w="57" w:type="dxa"/>
              <w:bottom w:w="57" w:type="dxa"/>
            </w:tcMar>
          </w:tcPr>
          <w:p w14:paraId="6C2C4A54" w14:textId="68843728" w:rsidR="00187874" w:rsidRPr="007300E0" w:rsidRDefault="007300E0" w:rsidP="00187874">
            <w:pPr>
              <w:tabs>
                <w:tab w:val="left" w:pos="0"/>
              </w:tabs>
              <w:jc w:val="both"/>
              <w:rPr>
                <w:color w:val="FF0000"/>
              </w:rPr>
            </w:pPr>
            <w:r w:rsidRPr="007300E0">
              <w:rPr>
                <w:b/>
                <w:bCs/>
                <w:color w:val="000000" w:themeColor="text1"/>
              </w:rPr>
              <w:t>Neimplementováno,</w:t>
            </w:r>
            <w:r>
              <w:rPr>
                <w:b/>
                <w:bCs/>
                <w:color w:val="000000" w:themeColor="text1"/>
              </w:rPr>
              <w:t xml:space="preserve"> </w:t>
            </w:r>
            <w:r w:rsidRPr="007300E0">
              <w:rPr>
                <w:color w:val="000000" w:themeColor="text1"/>
              </w:rPr>
              <w:t>jelikož implementace čl. 33 ohledně regulačních pískovišť pro nulové čisté emise je fakultativní</w:t>
            </w:r>
            <w:r>
              <w:rPr>
                <w:color w:val="000000" w:themeColor="text1"/>
              </w:rPr>
              <w:t xml:space="preserve">. </w:t>
            </w:r>
          </w:p>
        </w:tc>
        <w:tc>
          <w:tcPr>
            <w:tcW w:w="542" w:type="pct"/>
            <w:shd w:val="clear" w:color="auto" w:fill="auto"/>
            <w:tcMar>
              <w:top w:w="57" w:type="dxa"/>
              <w:bottom w:w="57" w:type="dxa"/>
            </w:tcMar>
          </w:tcPr>
          <w:p w14:paraId="7A2C7352" w14:textId="12B9B1CF"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165105E8" w14:textId="128850BC" w:rsidR="00187874" w:rsidRDefault="00187874" w:rsidP="00187874">
            <w:r>
              <w:t>Čl. 34 odst. 2</w:t>
            </w:r>
          </w:p>
        </w:tc>
        <w:tc>
          <w:tcPr>
            <w:tcW w:w="1753" w:type="pct"/>
            <w:shd w:val="clear" w:color="auto" w:fill="auto"/>
            <w:tcMar>
              <w:top w:w="57" w:type="dxa"/>
              <w:bottom w:w="57" w:type="dxa"/>
            </w:tcMar>
          </w:tcPr>
          <w:p w14:paraId="3D5C4529" w14:textId="6C045E29" w:rsidR="00187874" w:rsidRDefault="00187874" w:rsidP="00187874">
            <w:pPr>
              <w:jc w:val="both"/>
            </w:pPr>
            <w:r w:rsidRPr="00E06B07">
              <w:t>2. Členské státy zohlední konkrétní zájmy a potřeby malých a středních podniků a začínajících podniků a poskytnou odpovídající administrativní podporu účasti v regulačních pískovištích pro nulové čisté emise. Aniž je dotčeno uplatňování článků 107 a 108 Smlouvy o fungování EU, členské státy informují malé a střední podniky a začínající podniky o dostupné finanční podpoře pro jejich činnosti v regulačních pískovištích pro nulové čisté emise.</w:t>
            </w:r>
          </w:p>
        </w:tc>
      </w:tr>
      <w:tr w:rsidR="00187874" w:rsidRPr="005D452F" w14:paraId="11C48922" w14:textId="77777777" w:rsidTr="00A267C2">
        <w:tc>
          <w:tcPr>
            <w:tcW w:w="525" w:type="pct"/>
            <w:shd w:val="clear" w:color="auto" w:fill="auto"/>
            <w:tcMar>
              <w:top w:w="57" w:type="dxa"/>
              <w:bottom w:w="57" w:type="dxa"/>
            </w:tcMar>
          </w:tcPr>
          <w:p w14:paraId="08822522" w14:textId="03D21429" w:rsidR="00187874" w:rsidRPr="00FB58A3" w:rsidRDefault="00BE015B" w:rsidP="00187874">
            <w:r>
              <w:t>§ 2 odst. 2</w:t>
            </w:r>
          </w:p>
        </w:tc>
        <w:tc>
          <w:tcPr>
            <w:tcW w:w="1693" w:type="pct"/>
            <w:shd w:val="clear" w:color="auto" w:fill="auto"/>
            <w:tcMar>
              <w:top w:w="57" w:type="dxa"/>
              <w:bottom w:w="57" w:type="dxa"/>
            </w:tcMar>
          </w:tcPr>
          <w:p w14:paraId="03D7339D" w14:textId="22EF0F6E" w:rsidR="00187874" w:rsidRDefault="00992152" w:rsidP="00187874">
            <w:pPr>
              <w:tabs>
                <w:tab w:val="left" w:pos="0"/>
              </w:tabs>
              <w:jc w:val="both"/>
              <w:rPr>
                <w:color w:val="FF0000"/>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71E3D298" w14:textId="7989AB2B"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4C12F2C6" w14:textId="65A4A5B8" w:rsidR="00187874" w:rsidRDefault="00187874" w:rsidP="00187874">
            <w:r>
              <w:t>Čl. 36 odst. 2</w:t>
            </w:r>
          </w:p>
        </w:tc>
        <w:tc>
          <w:tcPr>
            <w:tcW w:w="1753" w:type="pct"/>
            <w:shd w:val="clear" w:color="auto" w:fill="auto"/>
            <w:tcMar>
              <w:top w:w="57" w:type="dxa"/>
              <w:bottom w:w="57" w:type="dxa"/>
            </w:tcMar>
          </w:tcPr>
          <w:p w14:paraId="0DF882F4" w14:textId="110A20DC" w:rsidR="00187874" w:rsidRPr="00E06B07" w:rsidRDefault="00187874" w:rsidP="00187874">
            <w:pPr>
              <w:jc w:val="both"/>
            </w:pPr>
            <w:r w:rsidRPr="000E1D6E">
              <w:t>2. Komise a členské státy pracují a koordinují svou činnost v rámci Řídící skupiny pro plán SET s cílem pomoci podpořit rozvoj čistých, účinných a nákladově konkurenceschopných energetických technologií prostřednictvím koordinace a spolupráce ve výzkumu a v inovacích v oblasti čisté energie, případně i se třetími zeměmi na základě výzvy.</w:t>
            </w:r>
          </w:p>
        </w:tc>
      </w:tr>
      <w:tr w:rsidR="00187874" w:rsidRPr="005D452F" w14:paraId="06EE940B" w14:textId="77777777" w:rsidTr="00A267C2">
        <w:tc>
          <w:tcPr>
            <w:tcW w:w="525" w:type="pct"/>
            <w:shd w:val="clear" w:color="auto" w:fill="auto"/>
            <w:tcMar>
              <w:top w:w="57" w:type="dxa"/>
              <w:bottom w:w="57" w:type="dxa"/>
            </w:tcMar>
          </w:tcPr>
          <w:p w14:paraId="18AD2181" w14:textId="1C10C67C" w:rsidR="00187874" w:rsidRPr="00FB58A3" w:rsidRDefault="003033ED" w:rsidP="00187874">
            <w:r>
              <w:t>§ 2 odst. 2</w:t>
            </w:r>
          </w:p>
        </w:tc>
        <w:tc>
          <w:tcPr>
            <w:tcW w:w="1693" w:type="pct"/>
            <w:shd w:val="clear" w:color="auto" w:fill="auto"/>
            <w:tcMar>
              <w:top w:w="57" w:type="dxa"/>
              <w:bottom w:w="57" w:type="dxa"/>
            </w:tcMar>
          </w:tcPr>
          <w:p w14:paraId="44EB129A" w14:textId="0AF115D5" w:rsidR="00187874" w:rsidRDefault="00992152" w:rsidP="00187874">
            <w:pPr>
              <w:tabs>
                <w:tab w:val="left" w:pos="0"/>
              </w:tabs>
              <w:jc w:val="both"/>
              <w:rPr>
                <w:color w:val="FF0000"/>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09357564" w14:textId="3762BF1D"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62E52FD4" w14:textId="6BA4AFEA" w:rsidR="00187874" w:rsidRDefault="00187874" w:rsidP="00187874">
            <w:r>
              <w:t>Čl. 37 odst. 2</w:t>
            </w:r>
          </w:p>
        </w:tc>
        <w:tc>
          <w:tcPr>
            <w:tcW w:w="1753" w:type="pct"/>
            <w:shd w:val="clear" w:color="auto" w:fill="auto"/>
            <w:tcMar>
              <w:top w:w="57" w:type="dxa"/>
              <w:bottom w:w="57" w:type="dxa"/>
            </w:tcMar>
          </w:tcPr>
          <w:p w14:paraId="0D68C231" w14:textId="6C57B8DA" w:rsidR="00187874" w:rsidRPr="000E1D6E" w:rsidRDefault="00187874" w:rsidP="00187874">
            <w:pPr>
              <w:jc w:val="both"/>
            </w:pPr>
            <w:r w:rsidRPr="00EB6DF9">
              <w:t>2. Každý členský stát jmenuje do Řídící skupiny pro plán SET jednoho zástupce na vysoké úrovni. Je-li to relevantní z hlediska funkce a odborných znalostí, může členský stát ve vztahu k různým úkolům souvisejícím s činností Řídící skupiny pro plán SET jmenovat více než jednoho zástupce. Každý zástupce jmenovaný do Řídící skupiny pro plán SET má náhradníka.</w:t>
            </w:r>
          </w:p>
        </w:tc>
      </w:tr>
      <w:tr w:rsidR="00187874" w:rsidRPr="005D452F" w14:paraId="5286EBB8" w14:textId="77777777" w:rsidTr="00A267C2">
        <w:tc>
          <w:tcPr>
            <w:tcW w:w="525" w:type="pct"/>
            <w:shd w:val="clear" w:color="auto" w:fill="auto"/>
            <w:tcMar>
              <w:top w:w="57" w:type="dxa"/>
              <w:bottom w:w="57" w:type="dxa"/>
            </w:tcMar>
          </w:tcPr>
          <w:p w14:paraId="368D7EE2" w14:textId="1F7B351F" w:rsidR="00187874" w:rsidRPr="00FB58A3" w:rsidRDefault="003033ED" w:rsidP="00187874">
            <w:r>
              <w:lastRenderedPageBreak/>
              <w:t>§ 2 odst. 2</w:t>
            </w:r>
          </w:p>
        </w:tc>
        <w:tc>
          <w:tcPr>
            <w:tcW w:w="1693" w:type="pct"/>
            <w:shd w:val="clear" w:color="auto" w:fill="auto"/>
            <w:tcMar>
              <w:top w:w="57" w:type="dxa"/>
              <w:bottom w:w="57" w:type="dxa"/>
            </w:tcMar>
          </w:tcPr>
          <w:p w14:paraId="6D4972C7" w14:textId="78417A94" w:rsidR="00187874" w:rsidRDefault="00992152" w:rsidP="00187874">
            <w:pPr>
              <w:tabs>
                <w:tab w:val="left" w:pos="0"/>
              </w:tabs>
              <w:jc w:val="both"/>
              <w:rPr>
                <w:color w:val="FF0000"/>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35C5227F" w14:textId="4F3115B8"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66C932AF" w14:textId="7BB04142" w:rsidR="00187874" w:rsidRDefault="00187874" w:rsidP="00187874">
            <w:r>
              <w:t>Čl. 39 odst. 2</w:t>
            </w:r>
          </w:p>
        </w:tc>
        <w:tc>
          <w:tcPr>
            <w:tcW w:w="1753" w:type="pct"/>
            <w:shd w:val="clear" w:color="auto" w:fill="auto"/>
            <w:tcMar>
              <w:top w:w="57" w:type="dxa"/>
              <w:bottom w:w="57" w:type="dxa"/>
            </w:tcMar>
          </w:tcPr>
          <w:p w14:paraId="4FAA4787" w14:textId="38B7E2AB" w:rsidR="00187874" w:rsidRPr="00EB6DF9" w:rsidRDefault="00187874" w:rsidP="00187874">
            <w:pPr>
              <w:jc w:val="both"/>
            </w:pPr>
            <w:r w:rsidRPr="00D56B37">
              <w:t>2. Každý členský stát jmenuje do platformy zástupce na vysoké úrovni. Je-li to relevantní z hlediska funkce a odborných znalostí, může členský stát ve vztahu k různým úkolům platformy jmenovat více než jednoho zástupce. Každý zástupce jmenovaný do platformy má náhradníka. Hlasovací právo mají pouze členské státy. Každý členský stát má pouze jeden hlas bez ohledu na počet zástupců.</w:t>
            </w:r>
          </w:p>
        </w:tc>
      </w:tr>
      <w:tr w:rsidR="00187874" w:rsidRPr="005D452F" w14:paraId="76073EAA" w14:textId="77777777" w:rsidTr="00A267C2">
        <w:tc>
          <w:tcPr>
            <w:tcW w:w="525" w:type="pct"/>
            <w:shd w:val="clear" w:color="auto" w:fill="auto"/>
            <w:tcMar>
              <w:top w:w="57" w:type="dxa"/>
              <w:bottom w:w="57" w:type="dxa"/>
            </w:tcMar>
          </w:tcPr>
          <w:p w14:paraId="740994D6" w14:textId="123EF7F7" w:rsidR="00187874" w:rsidRPr="00FB58A3" w:rsidRDefault="003033ED" w:rsidP="00187874">
            <w:r>
              <w:t>§ 2 odst. 2</w:t>
            </w:r>
          </w:p>
        </w:tc>
        <w:tc>
          <w:tcPr>
            <w:tcW w:w="1693" w:type="pct"/>
            <w:shd w:val="clear" w:color="auto" w:fill="auto"/>
            <w:tcMar>
              <w:top w:w="57" w:type="dxa"/>
              <w:bottom w:w="57" w:type="dxa"/>
            </w:tcMar>
          </w:tcPr>
          <w:p w14:paraId="2E9FD054" w14:textId="050F2B6C" w:rsidR="00187874" w:rsidRDefault="00992152" w:rsidP="00187874">
            <w:pPr>
              <w:tabs>
                <w:tab w:val="left" w:pos="0"/>
              </w:tabs>
              <w:jc w:val="both"/>
              <w:rPr>
                <w:color w:val="FF0000"/>
              </w:rPr>
            </w:pPr>
            <w:r w:rsidRPr="00C44BD3">
              <w:rPr>
                <w:color w:val="000000" w:themeColor="text1"/>
              </w:rPr>
              <w:t>(2)</w:t>
            </w:r>
            <w:r w:rsidRPr="00C44BD3">
              <w:rPr>
                <w:color w:val="000000" w:themeColor="text1"/>
              </w:rPr>
              <w:tab/>
            </w:r>
            <w:r w:rsidRPr="00C44BD3">
              <w:rPr>
                <w:color w:val="000000" w:themeColor="text1"/>
                <w:u w:val="single"/>
              </w:rPr>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4407E049" w14:textId="2278276F"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7D342C14" w14:textId="76578E96" w:rsidR="00187874" w:rsidRDefault="00187874" w:rsidP="00187874">
            <w:r>
              <w:t>Čl. 41</w:t>
            </w:r>
          </w:p>
        </w:tc>
        <w:tc>
          <w:tcPr>
            <w:tcW w:w="1753" w:type="pct"/>
            <w:shd w:val="clear" w:color="auto" w:fill="auto"/>
            <w:tcMar>
              <w:top w:w="57" w:type="dxa"/>
              <w:bottom w:w="57" w:type="dxa"/>
            </w:tcMar>
          </w:tcPr>
          <w:p w14:paraId="3B158B17" w14:textId="77777777" w:rsidR="00187874" w:rsidRDefault="00187874" w:rsidP="00187874">
            <w:pPr>
              <w:jc w:val="both"/>
            </w:pPr>
            <w:r>
              <w:t>Vnitrostátní plány v oblasti energetiky a klimatu</w:t>
            </w:r>
          </w:p>
          <w:p w14:paraId="5694B577" w14:textId="77777777" w:rsidR="00187874" w:rsidRDefault="00187874" w:rsidP="00187874">
            <w:pPr>
              <w:jc w:val="both"/>
            </w:pPr>
          </w:p>
          <w:p w14:paraId="558BFA1E" w14:textId="5D385EAB" w:rsidR="00187874" w:rsidRPr="00D56B37" w:rsidRDefault="00187874" w:rsidP="00187874">
            <w:pPr>
              <w:jc w:val="both"/>
            </w:pPr>
            <w:r>
              <w:t>Členské státy zohlední toto nařízení při přípravě svých vnitrostátních plánů v oblasti energetiky a klimatu, zejména pokud jde o rozměr „výzkum, inovace a konkurenceschopnost“ energetické unie, přičemž přihlédnou k prioritám strategie energetické unie a strategického plánu pro energetické technologie, a při předkládání dvouletých zpráv o pokroku v souladu s článkem 17 nařízení (EU) 2018/1999.</w:t>
            </w:r>
          </w:p>
        </w:tc>
      </w:tr>
      <w:tr w:rsidR="00187874" w:rsidRPr="005D452F" w14:paraId="37D30842" w14:textId="77777777" w:rsidTr="00A267C2">
        <w:tc>
          <w:tcPr>
            <w:tcW w:w="525" w:type="pct"/>
            <w:shd w:val="clear" w:color="auto" w:fill="auto"/>
            <w:tcMar>
              <w:top w:w="57" w:type="dxa"/>
              <w:bottom w:w="57" w:type="dxa"/>
            </w:tcMar>
          </w:tcPr>
          <w:p w14:paraId="74375FF5" w14:textId="47204697" w:rsidR="00187874" w:rsidRPr="00FB58A3" w:rsidRDefault="00644304" w:rsidP="00187874">
            <w:r w:rsidRPr="00644304">
              <w:t>§ 2 odst. 2</w:t>
            </w:r>
          </w:p>
        </w:tc>
        <w:tc>
          <w:tcPr>
            <w:tcW w:w="1693" w:type="pct"/>
            <w:shd w:val="clear" w:color="auto" w:fill="auto"/>
            <w:tcMar>
              <w:top w:w="57" w:type="dxa"/>
              <w:bottom w:w="57" w:type="dxa"/>
            </w:tcMar>
          </w:tcPr>
          <w:p w14:paraId="0B692348" w14:textId="14400EDE" w:rsidR="00187874" w:rsidRPr="005D452F" w:rsidRDefault="00992152" w:rsidP="00187874">
            <w:pPr>
              <w:pStyle w:val="odstavec"/>
              <w:widowControl w:val="0"/>
              <w:spacing w:before="0"/>
              <w:ind w:firstLine="0"/>
              <w:rPr>
                <w:noProof w:val="0"/>
                <w:u w:val="single"/>
              </w:rPr>
            </w:pPr>
            <w:r w:rsidRPr="00C44BD3">
              <w:rPr>
                <w:noProof w:val="0"/>
                <w:u w:val="single"/>
              </w:rPr>
              <w:t>(2)</w:t>
            </w:r>
            <w:r w:rsidRPr="00C44BD3">
              <w:rPr>
                <w:noProof w:val="0"/>
                <w:u w:val="single"/>
              </w:rPr>
              <w:tab/>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5B7B3C93" w14:textId="7DBA3C84" w:rsidR="00187874" w:rsidRPr="00263450" w:rsidRDefault="00187874" w:rsidP="00187874">
            <w:r w:rsidRPr="00163132">
              <w:rPr>
                <w:color w:val="333333"/>
                <w:shd w:val="clear" w:color="auto" w:fill="FFFFFF"/>
              </w:rPr>
              <w:t>32024R1735</w:t>
            </w:r>
          </w:p>
        </w:tc>
        <w:tc>
          <w:tcPr>
            <w:tcW w:w="487" w:type="pct"/>
            <w:shd w:val="clear" w:color="auto" w:fill="auto"/>
            <w:tcMar>
              <w:top w:w="57" w:type="dxa"/>
              <w:bottom w:w="57" w:type="dxa"/>
            </w:tcMar>
          </w:tcPr>
          <w:p w14:paraId="21CFAED1" w14:textId="0C014846" w:rsidR="00187874" w:rsidRPr="005D452F" w:rsidRDefault="00187874" w:rsidP="00187874">
            <w:pPr>
              <w:spacing w:line="259" w:lineRule="auto"/>
            </w:pPr>
            <w:r>
              <w:t>Čl. 42 odst. 2</w:t>
            </w:r>
          </w:p>
        </w:tc>
        <w:tc>
          <w:tcPr>
            <w:tcW w:w="1753" w:type="pct"/>
            <w:shd w:val="clear" w:color="auto" w:fill="auto"/>
            <w:tcMar>
              <w:top w:w="57" w:type="dxa"/>
              <w:bottom w:w="57" w:type="dxa"/>
            </w:tcMar>
          </w:tcPr>
          <w:p w14:paraId="3772527B" w14:textId="56D26671" w:rsidR="00187874" w:rsidRPr="006906D1" w:rsidRDefault="00187874" w:rsidP="00187874">
            <w:pPr>
              <w:spacing w:before="100" w:beforeAutospacing="1" w:after="100" w:afterAutospacing="1"/>
              <w:jc w:val="both"/>
              <w:rPr>
                <w:noProof w:val="0"/>
              </w:rPr>
            </w:pPr>
            <w:r w:rsidRPr="006906D1">
              <w:t>2. Členské státy a vnitrostátní orgány jimi určené k tomuto účelu shromažďují a poskytují údaje a jiné důkazy požadované podle odstavce 1.</w:t>
            </w:r>
          </w:p>
        </w:tc>
      </w:tr>
      <w:tr w:rsidR="00187874" w14:paraId="42E17EBF" w14:textId="77777777" w:rsidTr="00A267C2">
        <w:trPr>
          <w:trHeight w:val="300"/>
        </w:trPr>
        <w:tc>
          <w:tcPr>
            <w:tcW w:w="525" w:type="pct"/>
            <w:shd w:val="clear" w:color="auto" w:fill="auto"/>
            <w:tcMar>
              <w:top w:w="57" w:type="dxa"/>
              <w:bottom w:w="57" w:type="dxa"/>
            </w:tcMar>
          </w:tcPr>
          <w:p w14:paraId="151D0803" w14:textId="47130A8F" w:rsidR="00187874" w:rsidRDefault="00644304" w:rsidP="00187874">
            <w:r w:rsidRPr="00644304">
              <w:t>§ 2 odst. 2</w:t>
            </w:r>
          </w:p>
        </w:tc>
        <w:tc>
          <w:tcPr>
            <w:tcW w:w="1693" w:type="pct"/>
            <w:shd w:val="clear" w:color="auto" w:fill="auto"/>
            <w:tcMar>
              <w:top w:w="57" w:type="dxa"/>
              <w:bottom w:w="57" w:type="dxa"/>
            </w:tcMar>
          </w:tcPr>
          <w:p w14:paraId="691023D9" w14:textId="2AEA349F" w:rsidR="00187874" w:rsidRDefault="00992152" w:rsidP="00187874">
            <w:pPr>
              <w:jc w:val="both"/>
            </w:pPr>
            <w:r w:rsidRPr="00C44BD3">
              <w:t>(2)</w:t>
            </w:r>
            <w:r w:rsidRPr="00C44BD3">
              <w:tab/>
            </w:r>
            <w:r w:rsidRPr="00C44BD3">
              <w:rPr>
                <w:u w:val="single"/>
              </w:rPr>
              <w:t xml:space="preserve">Ministerstvo plní povinnosti a vykonává pravomoci stanovené členským státům v čl. 6 odst. 6, čl. 7, čl. 15 odst. 1, čl. 26, čl. 28 odst. 5, čl. 36 odst. 2, čl. 37 odst. 2, čl. 39 </w:t>
            </w:r>
            <w:r w:rsidRPr="00C44BD3">
              <w:rPr>
                <w:u w:val="single"/>
              </w:rPr>
              <w:lastRenderedPageBreak/>
              <w:t>odst. 2, čl. 41, čl. 42 odst. 2 a 3 a čl. 46 odst. 5 nařízení Evropského parlamentu a Rady (EU) 2024/1735.</w:t>
            </w:r>
          </w:p>
        </w:tc>
        <w:tc>
          <w:tcPr>
            <w:tcW w:w="542" w:type="pct"/>
            <w:shd w:val="clear" w:color="auto" w:fill="auto"/>
            <w:tcMar>
              <w:top w:w="57" w:type="dxa"/>
              <w:bottom w:w="57" w:type="dxa"/>
            </w:tcMar>
          </w:tcPr>
          <w:p w14:paraId="69C2B146" w14:textId="6CB098F3" w:rsidR="00187874" w:rsidRDefault="00187874" w:rsidP="00187874">
            <w:r w:rsidRPr="00163132">
              <w:rPr>
                <w:color w:val="333333"/>
                <w:shd w:val="clear" w:color="auto" w:fill="FFFFFF"/>
              </w:rPr>
              <w:lastRenderedPageBreak/>
              <w:t>32024R1735</w:t>
            </w:r>
          </w:p>
        </w:tc>
        <w:tc>
          <w:tcPr>
            <w:tcW w:w="487" w:type="pct"/>
            <w:shd w:val="clear" w:color="auto" w:fill="auto"/>
            <w:tcMar>
              <w:top w:w="57" w:type="dxa"/>
              <w:bottom w:w="57" w:type="dxa"/>
            </w:tcMar>
          </w:tcPr>
          <w:p w14:paraId="2B256A0D" w14:textId="0EEF6F4C" w:rsidR="00187874" w:rsidRDefault="00187874" w:rsidP="00187874">
            <w:r>
              <w:t>Čl. 42 odst.2 pododst. 1</w:t>
            </w:r>
          </w:p>
        </w:tc>
        <w:tc>
          <w:tcPr>
            <w:tcW w:w="1753" w:type="pct"/>
            <w:shd w:val="clear" w:color="auto" w:fill="auto"/>
            <w:tcMar>
              <w:top w:w="57" w:type="dxa"/>
              <w:bottom w:w="57" w:type="dxa"/>
            </w:tcMar>
          </w:tcPr>
          <w:p w14:paraId="1268CF80"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Zejména alespoň jednou za tři roky shromažďují údaje o:</w:t>
            </w:r>
          </w:p>
          <w:p w14:paraId="59ED13C7"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 xml:space="preserve">a) překážkách, jež na vnitřním trhu brání obchodu s technologiemi pro nulové čisté emise </w:t>
            </w:r>
            <w:r w:rsidRPr="006906D1">
              <w:rPr>
                <w:rFonts w:ascii="Times New Roman" w:hAnsi="Times New Roman" w:cs="Times New Roman"/>
              </w:rPr>
              <w:lastRenderedPageBreak/>
              <w:t>nebo se zbožím, které využívá technologie pro nulové čisté emise, a potenciální příčiny jejich vzniku, včetně případů, kdy tyto překážky vyplývají z narušení globálních dodavatelských řetězců;</w:t>
            </w:r>
          </w:p>
          <w:p w14:paraId="771C8E8F" w14:textId="77777777" w:rsidR="00187874" w:rsidRPr="006906D1" w:rsidRDefault="00187874" w:rsidP="00187874">
            <w:pPr>
              <w:pStyle w:val="Default"/>
              <w:rPr>
                <w:rFonts w:ascii="Times New Roman" w:hAnsi="Times New Roman" w:cs="Times New Roman"/>
              </w:rPr>
            </w:pPr>
          </w:p>
          <w:p w14:paraId="1D95F8EA"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b) vývoji technologií pro nulové čisté emise a tržních trendech, jakož i tržních cenách za příslušné technologie pro nulové čisté emise, včetně informací o dražbách a jejich četnosti, o dosažených cenách a případně o objemu pro účely splnění požadavků kapitoly IV;</w:t>
            </w:r>
          </w:p>
          <w:p w14:paraId="1D7AF151" w14:textId="77777777" w:rsidR="00187874" w:rsidRPr="006906D1" w:rsidRDefault="00187874" w:rsidP="00187874">
            <w:pPr>
              <w:pStyle w:val="Default"/>
              <w:rPr>
                <w:rFonts w:ascii="Times New Roman" w:hAnsi="Times New Roman" w:cs="Times New Roman"/>
              </w:rPr>
            </w:pPr>
          </w:p>
          <w:p w14:paraId="10886EC5"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c) výrobní kapacitě v oblasti technologií pro nulové čisté emise a souvisejících činnostech, včetně údajů o zaměstnanosti a dovednostech;</w:t>
            </w:r>
          </w:p>
          <w:p w14:paraId="5D0E33D6" w14:textId="77777777" w:rsidR="00187874" w:rsidRPr="006906D1" w:rsidRDefault="00187874" w:rsidP="00187874">
            <w:pPr>
              <w:pStyle w:val="Default"/>
              <w:rPr>
                <w:rFonts w:ascii="Times New Roman" w:hAnsi="Times New Roman" w:cs="Times New Roman"/>
              </w:rPr>
            </w:pPr>
          </w:p>
          <w:p w14:paraId="04E78265"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d) počtu malých a středních podniků, které jsou součástí projektů výroby technologií pro nulové čisté emise;</w:t>
            </w:r>
          </w:p>
          <w:p w14:paraId="40821483" w14:textId="77777777" w:rsidR="00187874" w:rsidRPr="006906D1" w:rsidRDefault="00187874" w:rsidP="00187874">
            <w:pPr>
              <w:pStyle w:val="Default"/>
              <w:rPr>
                <w:rFonts w:ascii="Times New Roman" w:hAnsi="Times New Roman" w:cs="Times New Roman"/>
              </w:rPr>
            </w:pPr>
          </w:p>
          <w:p w14:paraId="5959CBCA"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e) následujících informacích týkajících se povolovacích postupů podle jednotlivých technologií pro nulové čisté emise:</w:t>
            </w:r>
          </w:p>
          <w:p w14:paraId="64EBFB4B" w14:textId="77777777" w:rsidR="00187874" w:rsidRPr="006906D1" w:rsidRDefault="00187874" w:rsidP="00187874">
            <w:pPr>
              <w:pStyle w:val="Default"/>
              <w:ind w:left="246"/>
              <w:rPr>
                <w:rFonts w:ascii="Times New Roman" w:hAnsi="Times New Roman" w:cs="Times New Roman"/>
              </w:rPr>
            </w:pPr>
            <w:r w:rsidRPr="006906D1">
              <w:rPr>
                <w:rFonts w:ascii="Times New Roman" w:hAnsi="Times New Roman" w:cs="Times New Roman"/>
              </w:rPr>
              <w:t>i) počtu zahájených povolovacích postupů, počtu zamítnutých žádostí a počtu přijatých komplexních rozhodnutí s uvedením, zda byl na jejich základě projekt schválen nebo zamítnut;</w:t>
            </w:r>
          </w:p>
          <w:p w14:paraId="4C145033" w14:textId="77777777" w:rsidR="00187874" w:rsidRPr="006906D1" w:rsidRDefault="00187874" w:rsidP="00187874">
            <w:pPr>
              <w:pStyle w:val="Default"/>
              <w:ind w:left="246"/>
              <w:rPr>
                <w:rFonts w:ascii="Times New Roman" w:hAnsi="Times New Roman" w:cs="Times New Roman"/>
              </w:rPr>
            </w:pPr>
            <w:proofErr w:type="spellStart"/>
            <w:r w:rsidRPr="006906D1">
              <w:rPr>
                <w:rFonts w:ascii="Times New Roman" w:hAnsi="Times New Roman" w:cs="Times New Roman"/>
              </w:rPr>
              <w:t>ii</w:t>
            </w:r>
            <w:proofErr w:type="spellEnd"/>
            <w:r w:rsidRPr="006906D1">
              <w:rPr>
                <w:rFonts w:ascii="Times New Roman" w:hAnsi="Times New Roman" w:cs="Times New Roman"/>
              </w:rPr>
              <w:t>) době trvání povolovacích postupů, v jejichž rámci bylo přijato komplexní rozhodnutí, včetně délky prodloužení lhůt;</w:t>
            </w:r>
          </w:p>
          <w:p w14:paraId="42559A35" w14:textId="77777777" w:rsidR="00187874" w:rsidRPr="006906D1" w:rsidRDefault="00187874" w:rsidP="00187874">
            <w:pPr>
              <w:pStyle w:val="Default"/>
              <w:ind w:left="246"/>
              <w:rPr>
                <w:rFonts w:ascii="Times New Roman" w:hAnsi="Times New Roman" w:cs="Times New Roman"/>
              </w:rPr>
            </w:pPr>
            <w:proofErr w:type="spellStart"/>
            <w:r w:rsidRPr="006906D1">
              <w:rPr>
                <w:rFonts w:ascii="Times New Roman" w:hAnsi="Times New Roman" w:cs="Times New Roman"/>
              </w:rPr>
              <w:lastRenderedPageBreak/>
              <w:t>iii</w:t>
            </w:r>
            <w:proofErr w:type="spellEnd"/>
            <w:r w:rsidRPr="006906D1">
              <w:rPr>
                <w:rFonts w:ascii="Times New Roman" w:hAnsi="Times New Roman" w:cs="Times New Roman"/>
              </w:rPr>
              <w:t>) informacích týkajících se zdrojů přidělených na provoz jediného kontaktního místa;</w:t>
            </w:r>
          </w:p>
          <w:p w14:paraId="6909A962" w14:textId="77777777" w:rsidR="00187874" w:rsidRPr="006906D1" w:rsidRDefault="00187874" w:rsidP="00187874">
            <w:pPr>
              <w:pStyle w:val="Default"/>
              <w:rPr>
                <w:rFonts w:ascii="Times New Roman" w:hAnsi="Times New Roman" w:cs="Times New Roman"/>
              </w:rPr>
            </w:pPr>
          </w:p>
          <w:p w14:paraId="32B41568" w14:textId="77777777" w:rsidR="00187874" w:rsidRPr="006906D1" w:rsidRDefault="00187874" w:rsidP="00187874">
            <w:pPr>
              <w:pStyle w:val="Default"/>
              <w:rPr>
                <w:rFonts w:ascii="Times New Roman" w:hAnsi="Times New Roman" w:cs="Times New Roman"/>
              </w:rPr>
            </w:pPr>
            <w:r w:rsidRPr="006906D1">
              <w:rPr>
                <w:rFonts w:ascii="Times New Roman" w:hAnsi="Times New Roman" w:cs="Times New Roman"/>
              </w:rPr>
              <w:t>f) počtu a povaze regulačních pískovišť pro nulové čisté emise;</w:t>
            </w:r>
          </w:p>
          <w:p w14:paraId="41A5F379" w14:textId="77777777" w:rsidR="00187874" w:rsidRPr="006906D1" w:rsidRDefault="00187874" w:rsidP="00187874">
            <w:pPr>
              <w:pStyle w:val="Default"/>
              <w:rPr>
                <w:rFonts w:ascii="Times New Roman" w:hAnsi="Times New Roman" w:cs="Times New Roman"/>
              </w:rPr>
            </w:pPr>
          </w:p>
          <w:p w14:paraId="764194D8" w14:textId="167A47BF" w:rsidR="00187874" w:rsidRPr="006906D1" w:rsidRDefault="00187874" w:rsidP="00187874">
            <w:pPr>
              <w:spacing w:line="259" w:lineRule="auto"/>
              <w:jc w:val="both"/>
            </w:pPr>
            <w:r w:rsidRPr="006906D1">
              <w:t>g) množství CO2 uloženého trvale pod zemí v souladu se směrnicí 2009/31/ES.</w:t>
            </w:r>
          </w:p>
        </w:tc>
      </w:tr>
      <w:tr w:rsidR="00187874" w:rsidRPr="005D452F" w14:paraId="28B862AB" w14:textId="77777777" w:rsidTr="00A267C2">
        <w:tc>
          <w:tcPr>
            <w:tcW w:w="525" w:type="pct"/>
            <w:shd w:val="clear" w:color="auto" w:fill="auto"/>
            <w:tcMar>
              <w:top w:w="57" w:type="dxa"/>
              <w:bottom w:w="57" w:type="dxa"/>
            </w:tcMar>
          </w:tcPr>
          <w:p w14:paraId="2ADD90B5" w14:textId="4088ED16" w:rsidR="00187874" w:rsidRPr="00FB58A3" w:rsidRDefault="00644304" w:rsidP="00187874">
            <w:r w:rsidRPr="00644304">
              <w:lastRenderedPageBreak/>
              <w:t>§ 2 odst. 2</w:t>
            </w:r>
          </w:p>
        </w:tc>
        <w:tc>
          <w:tcPr>
            <w:tcW w:w="1693" w:type="pct"/>
            <w:shd w:val="clear" w:color="auto" w:fill="auto"/>
            <w:tcMar>
              <w:top w:w="57" w:type="dxa"/>
              <w:bottom w:w="57" w:type="dxa"/>
            </w:tcMar>
          </w:tcPr>
          <w:p w14:paraId="1105403B" w14:textId="32C8C493" w:rsidR="00187874" w:rsidRPr="005D452F" w:rsidRDefault="00992152" w:rsidP="00187874">
            <w:pPr>
              <w:pStyle w:val="Odstavecseseznamem"/>
              <w:tabs>
                <w:tab w:val="left" w:pos="225"/>
              </w:tabs>
              <w:ind w:left="0"/>
              <w:jc w:val="both"/>
              <w:rPr>
                <w:noProof w:val="0"/>
                <w:u w:val="single"/>
              </w:rPr>
            </w:pPr>
            <w:r w:rsidRPr="00C44BD3">
              <w:rPr>
                <w:noProof w:val="0"/>
                <w:u w:val="single"/>
              </w:rPr>
              <w:t>(2)</w:t>
            </w:r>
            <w:r w:rsidRPr="00C44BD3">
              <w:rPr>
                <w:noProof w:val="0"/>
                <w:u w:val="single"/>
              </w:rPr>
              <w:tab/>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tc>
        <w:tc>
          <w:tcPr>
            <w:tcW w:w="542" w:type="pct"/>
            <w:shd w:val="clear" w:color="auto" w:fill="auto"/>
            <w:tcMar>
              <w:top w:w="57" w:type="dxa"/>
              <w:bottom w:w="57" w:type="dxa"/>
            </w:tcMar>
          </w:tcPr>
          <w:p w14:paraId="117DCE0F" w14:textId="63FCF1D9" w:rsidR="00187874" w:rsidRPr="00263450" w:rsidRDefault="00187874" w:rsidP="00187874">
            <w:r w:rsidRPr="00163132">
              <w:rPr>
                <w:color w:val="333333"/>
                <w:shd w:val="clear" w:color="auto" w:fill="FFFFFF"/>
              </w:rPr>
              <w:t>32024R1735</w:t>
            </w:r>
          </w:p>
        </w:tc>
        <w:tc>
          <w:tcPr>
            <w:tcW w:w="487" w:type="pct"/>
            <w:shd w:val="clear" w:color="auto" w:fill="auto"/>
            <w:tcMar>
              <w:top w:w="57" w:type="dxa"/>
              <w:bottom w:w="57" w:type="dxa"/>
            </w:tcMar>
          </w:tcPr>
          <w:p w14:paraId="2256D8E3" w14:textId="3310709A" w:rsidR="00187874" w:rsidRPr="005D452F" w:rsidRDefault="00187874" w:rsidP="00187874">
            <w:pPr>
              <w:jc w:val="both"/>
            </w:pPr>
            <w:r>
              <w:t>Čl. 42 odst. 3</w:t>
            </w:r>
          </w:p>
        </w:tc>
        <w:tc>
          <w:tcPr>
            <w:tcW w:w="1753" w:type="pct"/>
            <w:shd w:val="clear" w:color="auto" w:fill="auto"/>
            <w:tcMar>
              <w:top w:w="57" w:type="dxa"/>
              <w:bottom w:w="57" w:type="dxa"/>
            </w:tcMar>
          </w:tcPr>
          <w:p w14:paraId="78CB4238" w14:textId="1A3DA996" w:rsidR="00187874" w:rsidRPr="006906D1" w:rsidRDefault="00187874" w:rsidP="00187874">
            <w:pPr>
              <w:jc w:val="both"/>
            </w:pPr>
            <w:r w:rsidRPr="006906D1">
              <w:t>3. Pokud již nejsou zahrnuty do vnitrostátních plánů v oblasti energetiky a klimatu nebo v souladu s nimi, předloží každý členský stát Komisi do 15. března 2027 a poté každé tři roky zprávu obsahující údaje uvedené v odstavci 2.</w:t>
            </w:r>
          </w:p>
        </w:tc>
      </w:tr>
      <w:tr w:rsidR="00187874" w:rsidRPr="005D452F" w14:paraId="23A3D23A" w14:textId="77777777" w:rsidTr="00A267C2">
        <w:tc>
          <w:tcPr>
            <w:tcW w:w="525" w:type="pct"/>
            <w:shd w:val="clear" w:color="auto" w:fill="auto"/>
            <w:tcMar>
              <w:top w:w="57" w:type="dxa"/>
              <w:bottom w:w="57" w:type="dxa"/>
            </w:tcMar>
          </w:tcPr>
          <w:p w14:paraId="04626EC1" w14:textId="77777777" w:rsidR="00187874" w:rsidRDefault="00644304" w:rsidP="00187874">
            <w:r>
              <w:t>§ 2 odst. 2</w:t>
            </w:r>
          </w:p>
          <w:p w14:paraId="54943C73" w14:textId="77777777" w:rsidR="00644304" w:rsidRDefault="00644304" w:rsidP="00187874"/>
          <w:p w14:paraId="0B2C8190" w14:textId="77777777" w:rsidR="00644304" w:rsidRDefault="00644304" w:rsidP="00187874"/>
          <w:p w14:paraId="6D264D40" w14:textId="77777777" w:rsidR="00644304" w:rsidRDefault="00644304" w:rsidP="00187874"/>
          <w:p w14:paraId="38977019" w14:textId="77777777" w:rsidR="00644304" w:rsidRDefault="00644304" w:rsidP="00187874"/>
          <w:p w14:paraId="347DCA7A" w14:textId="77777777" w:rsidR="00644304" w:rsidRDefault="00644304" w:rsidP="00187874"/>
          <w:p w14:paraId="5AFE5C7C" w14:textId="77777777" w:rsidR="00644304" w:rsidRDefault="00644304" w:rsidP="00187874"/>
          <w:p w14:paraId="022AEA23" w14:textId="77777777" w:rsidR="00644304" w:rsidRDefault="00644304" w:rsidP="00187874"/>
          <w:p w14:paraId="136048D3" w14:textId="77777777" w:rsidR="00644304" w:rsidRDefault="00644304" w:rsidP="00187874"/>
          <w:p w14:paraId="1455144A" w14:textId="77777777" w:rsidR="00644304" w:rsidRDefault="00644304" w:rsidP="00187874">
            <w:r>
              <w:t>§ 2 odst. 3</w:t>
            </w:r>
          </w:p>
          <w:p w14:paraId="2C8B19C3" w14:textId="77777777" w:rsidR="00644304" w:rsidRDefault="00644304" w:rsidP="00187874"/>
          <w:p w14:paraId="051865D1" w14:textId="77777777" w:rsidR="00644304" w:rsidRDefault="00644304" w:rsidP="00187874"/>
          <w:p w14:paraId="5F542D50" w14:textId="77777777" w:rsidR="00644304" w:rsidRDefault="00644304" w:rsidP="00187874"/>
          <w:p w14:paraId="38E9CD4F" w14:textId="77777777" w:rsidR="00644304" w:rsidRDefault="00644304" w:rsidP="00187874"/>
          <w:p w14:paraId="5A97B6A6" w14:textId="77777777" w:rsidR="00644304" w:rsidRDefault="00644304" w:rsidP="00187874"/>
          <w:p w14:paraId="44AE0B91" w14:textId="71627394" w:rsidR="00644304" w:rsidRPr="00FB58A3" w:rsidRDefault="00644304" w:rsidP="00187874">
            <w:r>
              <w:lastRenderedPageBreak/>
              <w:t>§ 2 odst. 4</w:t>
            </w:r>
          </w:p>
        </w:tc>
        <w:tc>
          <w:tcPr>
            <w:tcW w:w="1693" w:type="pct"/>
            <w:shd w:val="clear" w:color="auto" w:fill="auto"/>
            <w:tcMar>
              <w:top w:w="57" w:type="dxa"/>
              <w:bottom w:w="57" w:type="dxa"/>
            </w:tcMar>
          </w:tcPr>
          <w:p w14:paraId="6C51D7A9" w14:textId="6263DDE8" w:rsidR="00644304" w:rsidRDefault="00992152" w:rsidP="00187874">
            <w:pPr>
              <w:jc w:val="both"/>
              <w:rPr>
                <w:noProof w:val="0"/>
                <w:u w:val="single"/>
              </w:rPr>
            </w:pPr>
            <w:r w:rsidRPr="00C44BD3">
              <w:rPr>
                <w:noProof w:val="0"/>
                <w:u w:val="single"/>
              </w:rPr>
              <w:lastRenderedPageBreak/>
              <w:t>(2)</w:t>
            </w:r>
            <w:r w:rsidRPr="00C44BD3">
              <w:rPr>
                <w:noProof w:val="0"/>
                <w:u w:val="single"/>
              </w:rPr>
              <w:tab/>
              <w:t>Ministerstvo plní povinnosti a vykonává pravomoci stanovené členským státům v čl. 6 odst. 6, čl. 7, čl. 15 odst. 1, čl. 26, čl. 28 odst. 5, čl. 36 odst. 2, čl. 37 odst. 2, čl. 39 odst. 2, čl. 41, čl. 42 odst. 2 a 3 a čl. 46 odst. 5 nařízení Evropského parlamentu a Rady (EU) 2024/1735.</w:t>
            </w:r>
          </w:p>
          <w:p w14:paraId="5FE15417" w14:textId="6A8BA01F" w:rsidR="00992152" w:rsidRDefault="00992152" w:rsidP="00187874">
            <w:pPr>
              <w:jc w:val="both"/>
              <w:rPr>
                <w:noProof w:val="0"/>
                <w:u w:val="single"/>
              </w:rPr>
            </w:pPr>
          </w:p>
          <w:p w14:paraId="098AB1B0" w14:textId="77777777" w:rsidR="00992152" w:rsidRDefault="00992152" w:rsidP="00187874">
            <w:pPr>
              <w:jc w:val="both"/>
              <w:rPr>
                <w:noProof w:val="0"/>
                <w:u w:val="single"/>
              </w:rPr>
            </w:pPr>
          </w:p>
          <w:p w14:paraId="19CA9DB0" w14:textId="604528DF" w:rsidR="00644304" w:rsidRPr="00992152" w:rsidRDefault="00644304" w:rsidP="00992152">
            <w:pPr>
              <w:pStyle w:val="Odstavecseseznamem"/>
              <w:numPr>
                <w:ilvl w:val="0"/>
                <w:numId w:val="23"/>
              </w:numPr>
              <w:ind w:left="0" w:hanging="89"/>
              <w:jc w:val="both"/>
              <w:rPr>
                <w:noProof w:val="0"/>
                <w:u w:val="single"/>
              </w:rPr>
            </w:pPr>
            <w:r w:rsidRPr="00992152">
              <w:rPr>
                <w:noProof w:val="0"/>
                <w:u w:val="single"/>
              </w:rPr>
              <w:t>Ministerstvo školství je příslušným vnitrostátním orgánem a plní povinnosti a vykonává pravomoci stanovené členským státům v čl. 31 a čl. 46 odst. 5 nařízení Evropského parlamentu a Rady (EU) 2024/1735.</w:t>
            </w:r>
          </w:p>
          <w:p w14:paraId="30B128BA" w14:textId="1921897E" w:rsidR="00644304" w:rsidRPr="00992152" w:rsidRDefault="00644304" w:rsidP="00992152">
            <w:pPr>
              <w:pStyle w:val="Odstavecseseznamem"/>
              <w:numPr>
                <w:ilvl w:val="0"/>
                <w:numId w:val="23"/>
              </w:numPr>
              <w:ind w:left="0" w:hanging="89"/>
              <w:jc w:val="both"/>
              <w:rPr>
                <w:noProof w:val="0"/>
                <w:u w:val="single"/>
              </w:rPr>
            </w:pPr>
            <w:r w:rsidRPr="00992152">
              <w:rPr>
                <w:noProof w:val="0"/>
                <w:u w:val="single"/>
              </w:rPr>
              <w:lastRenderedPageBreak/>
              <w:t xml:space="preserve">Ministerstvo životního prostředí, je příslušným vnitrostátním orgánem a plní povinnosti a vykonává pravomoci stanovené členským státům v čl. 23 odst. 7 a 10, čl. 46 odst. 5 a čl. 47 odst. 4 nařízení Evropského parlamentu a Rady (EU) 2024/1735. </w:t>
            </w:r>
          </w:p>
          <w:p w14:paraId="63FEA486" w14:textId="51B6C935" w:rsidR="00644304" w:rsidRPr="005D452F" w:rsidRDefault="00644304" w:rsidP="00187874">
            <w:pPr>
              <w:jc w:val="both"/>
              <w:rPr>
                <w:noProof w:val="0"/>
                <w:u w:val="single"/>
              </w:rPr>
            </w:pPr>
          </w:p>
        </w:tc>
        <w:tc>
          <w:tcPr>
            <w:tcW w:w="542" w:type="pct"/>
            <w:shd w:val="clear" w:color="auto" w:fill="auto"/>
            <w:tcMar>
              <w:top w:w="57" w:type="dxa"/>
              <w:bottom w:w="57" w:type="dxa"/>
            </w:tcMar>
          </w:tcPr>
          <w:p w14:paraId="3AFA8345" w14:textId="79D70EBC" w:rsidR="00187874" w:rsidRPr="00263450" w:rsidRDefault="00187874" w:rsidP="00187874">
            <w:r w:rsidRPr="00163132">
              <w:rPr>
                <w:color w:val="333333"/>
                <w:shd w:val="clear" w:color="auto" w:fill="FFFFFF"/>
              </w:rPr>
              <w:lastRenderedPageBreak/>
              <w:t>32024R1735</w:t>
            </w:r>
          </w:p>
        </w:tc>
        <w:tc>
          <w:tcPr>
            <w:tcW w:w="487" w:type="pct"/>
            <w:shd w:val="clear" w:color="auto" w:fill="auto"/>
            <w:tcMar>
              <w:top w:w="57" w:type="dxa"/>
              <w:bottom w:w="57" w:type="dxa"/>
            </w:tcMar>
          </w:tcPr>
          <w:p w14:paraId="378AB8B2" w14:textId="2A75D696" w:rsidR="00187874" w:rsidRPr="0089622F" w:rsidRDefault="00187874" w:rsidP="00187874">
            <w:r>
              <w:t>Čl. 46 odst. 5</w:t>
            </w:r>
          </w:p>
        </w:tc>
        <w:tc>
          <w:tcPr>
            <w:tcW w:w="1753" w:type="pct"/>
            <w:shd w:val="clear" w:color="auto" w:fill="auto"/>
            <w:tcMar>
              <w:top w:w="57" w:type="dxa"/>
              <w:bottom w:w="57" w:type="dxa"/>
            </w:tcMar>
          </w:tcPr>
          <w:p w14:paraId="5FDC5B34" w14:textId="78618B13" w:rsidR="00187874" w:rsidRPr="006906D1" w:rsidRDefault="00187874" w:rsidP="00187874">
            <w:pPr>
              <w:jc w:val="both"/>
            </w:pPr>
            <w:r w:rsidRPr="006906D1">
              <w:t>5. Příslušné orgány členských států poskytnou Komisi veškeré relevantní informace, kterými disponují a které Komise může požadovat k vypracování zprávy uvedené v odstavci 1.</w:t>
            </w:r>
          </w:p>
        </w:tc>
      </w:tr>
      <w:tr w:rsidR="00187874" w:rsidRPr="005D452F" w14:paraId="6441F421" w14:textId="77777777" w:rsidTr="00A267C2">
        <w:tc>
          <w:tcPr>
            <w:tcW w:w="525" w:type="pct"/>
            <w:shd w:val="clear" w:color="auto" w:fill="auto"/>
            <w:tcMar>
              <w:top w:w="57" w:type="dxa"/>
              <w:bottom w:w="57" w:type="dxa"/>
            </w:tcMar>
          </w:tcPr>
          <w:p w14:paraId="2FFFA920" w14:textId="11474297" w:rsidR="00187874" w:rsidRPr="00FB58A3" w:rsidRDefault="00644304" w:rsidP="00187874">
            <w:r>
              <w:lastRenderedPageBreak/>
              <w:t>§ 2 odst. 4</w:t>
            </w:r>
          </w:p>
        </w:tc>
        <w:tc>
          <w:tcPr>
            <w:tcW w:w="1693" w:type="pct"/>
            <w:shd w:val="clear" w:color="auto" w:fill="auto"/>
            <w:tcMar>
              <w:top w:w="57" w:type="dxa"/>
              <w:bottom w:w="57" w:type="dxa"/>
            </w:tcMar>
          </w:tcPr>
          <w:p w14:paraId="7E080D62" w14:textId="75629E62" w:rsidR="00187874" w:rsidRPr="00A267C2" w:rsidRDefault="00992152" w:rsidP="00187874">
            <w:pPr>
              <w:jc w:val="both"/>
              <w:rPr>
                <w:color w:val="000000" w:themeColor="text1"/>
                <w:u w:val="single"/>
              </w:rPr>
            </w:pPr>
            <w:r w:rsidRPr="00992152">
              <w:rPr>
                <w:color w:val="000000" w:themeColor="text1"/>
                <w:u w:val="single"/>
              </w:rPr>
              <w:t>(4)</w:t>
            </w:r>
            <w:r w:rsidRPr="00992152">
              <w:rPr>
                <w:color w:val="000000" w:themeColor="text1"/>
                <w:u w:val="single"/>
              </w:rPr>
              <w:tab/>
              <w:t>Ministerstvo životního prostředí, je příslušným vnitrostátním orgánem a plní povinnosti a vykonává pravomoci stanovené členským státům v čl. 23 odst. 7 a 10, čl. 46 odst. 5 a čl. 47 odst. 4 nařízení Evropského parlamentu a Rady (EU) 2024/1735.</w:t>
            </w:r>
          </w:p>
        </w:tc>
        <w:tc>
          <w:tcPr>
            <w:tcW w:w="542" w:type="pct"/>
            <w:shd w:val="clear" w:color="auto" w:fill="auto"/>
            <w:tcMar>
              <w:top w:w="57" w:type="dxa"/>
              <w:bottom w:w="57" w:type="dxa"/>
            </w:tcMar>
          </w:tcPr>
          <w:p w14:paraId="15F663DD" w14:textId="601D7398" w:rsidR="00187874" w:rsidRPr="00163132" w:rsidRDefault="00187874" w:rsidP="00187874">
            <w:pPr>
              <w:rPr>
                <w:color w:val="333333"/>
                <w:shd w:val="clear" w:color="auto" w:fill="FFFFFF"/>
              </w:rPr>
            </w:pPr>
            <w:r w:rsidRPr="00163132">
              <w:rPr>
                <w:color w:val="333333"/>
                <w:shd w:val="clear" w:color="auto" w:fill="FFFFFF"/>
              </w:rPr>
              <w:t>32024R1735</w:t>
            </w:r>
          </w:p>
        </w:tc>
        <w:tc>
          <w:tcPr>
            <w:tcW w:w="487" w:type="pct"/>
            <w:shd w:val="clear" w:color="auto" w:fill="auto"/>
            <w:tcMar>
              <w:top w:w="57" w:type="dxa"/>
              <w:bottom w:w="57" w:type="dxa"/>
            </w:tcMar>
          </w:tcPr>
          <w:p w14:paraId="2861C11F" w14:textId="05E48EF2" w:rsidR="00187874" w:rsidRDefault="00187874" w:rsidP="00187874">
            <w:r>
              <w:t>Čl. 47 odst. 4</w:t>
            </w:r>
          </w:p>
        </w:tc>
        <w:tc>
          <w:tcPr>
            <w:tcW w:w="1753" w:type="pct"/>
            <w:shd w:val="clear" w:color="auto" w:fill="auto"/>
            <w:tcMar>
              <w:top w:w="57" w:type="dxa"/>
              <w:bottom w:w="57" w:type="dxa"/>
            </w:tcMar>
          </w:tcPr>
          <w:p w14:paraId="493A7FB4" w14:textId="44453A2C" w:rsidR="00187874" w:rsidRPr="006906D1" w:rsidRDefault="00187874" w:rsidP="00187874">
            <w:pPr>
              <w:jc w:val="both"/>
            </w:pPr>
            <w:r w:rsidRPr="00EC1F03">
              <w:t>Pokud členský stát usoudí, že předkládání souhrnných informací v souvislosti s článkem 23 může ohrozit jeho zájmy v oblasti národní bezpečnosti, může vznést námitku proti předložení informací Komisí, a to prostřednictvím odůvodněného oznámení.</w:t>
            </w:r>
          </w:p>
        </w:tc>
      </w:tr>
      <w:tr w:rsidR="00187874" w:rsidRPr="005D452F" w14:paraId="3AFC0472" w14:textId="77777777" w:rsidTr="00A267C2">
        <w:tc>
          <w:tcPr>
            <w:tcW w:w="525" w:type="pct"/>
            <w:shd w:val="clear" w:color="auto" w:fill="auto"/>
            <w:tcMar>
              <w:top w:w="57" w:type="dxa"/>
              <w:bottom w:w="57" w:type="dxa"/>
            </w:tcMar>
          </w:tcPr>
          <w:p w14:paraId="5EC4C9F8" w14:textId="68F82C39" w:rsidR="00187874" w:rsidRPr="00FB58A3" w:rsidRDefault="00644304" w:rsidP="00187874">
            <w:r>
              <w:t xml:space="preserve">§ </w:t>
            </w:r>
            <w:r w:rsidR="00992152">
              <w:t>5</w:t>
            </w:r>
            <w:r>
              <w:t xml:space="preserve"> odst. 1</w:t>
            </w:r>
          </w:p>
        </w:tc>
        <w:tc>
          <w:tcPr>
            <w:tcW w:w="1693" w:type="pct"/>
            <w:shd w:val="clear" w:color="auto" w:fill="auto"/>
            <w:tcMar>
              <w:top w:w="57" w:type="dxa"/>
              <w:bottom w:w="57" w:type="dxa"/>
            </w:tcMar>
          </w:tcPr>
          <w:p w14:paraId="40620529" w14:textId="3DAA4FD4" w:rsidR="00644304" w:rsidRPr="00644304" w:rsidRDefault="00644304" w:rsidP="00644304">
            <w:pPr>
              <w:numPr>
                <w:ilvl w:val="0"/>
                <w:numId w:val="21"/>
              </w:numPr>
              <w:ind w:left="0" w:firstLine="0"/>
              <w:jc w:val="both"/>
              <w:rPr>
                <w:noProof w:val="0"/>
                <w:u w:val="single"/>
              </w:rPr>
            </w:pPr>
            <w:r w:rsidRPr="00644304">
              <w:rPr>
                <w:noProof w:val="0"/>
                <w:u w:val="single"/>
              </w:rPr>
              <w:t>Veřejný zadavatel</w:t>
            </w:r>
            <w:r w:rsidR="00992152">
              <w:rPr>
                <w:noProof w:val="0"/>
                <w:u w:val="single"/>
                <w:vertAlign w:val="superscript"/>
              </w:rPr>
              <w:t>3</w:t>
            </w:r>
            <w:r w:rsidRPr="00644304">
              <w:rPr>
                <w:noProof w:val="0"/>
                <w:u w:val="single"/>
                <w:vertAlign w:val="superscript"/>
              </w:rPr>
              <w:t>)</w:t>
            </w:r>
            <w:r w:rsidRPr="00644304">
              <w:rPr>
                <w:noProof w:val="0"/>
                <w:u w:val="single"/>
              </w:rPr>
              <w:t xml:space="preserve"> se řídí při zadávání veřejné zakázky čl. 25, čl. 27 a čl. 49 odst. 3 </w:t>
            </w:r>
            <w:bookmarkStart w:id="3" w:name="_Hlk188432408"/>
            <w:r w:rsidRPr="00644304">
              <w:rPr>
                <w:noProof w:val="0"/>
                <w:u w:val="single"/>
              </w:rPr>
              <w:t>nařízení Evropského parlamentu a Rady (EU) 2024/1735</w:t>
            </w:r>
            <w:bookmarkEnd w:id="3"/>
            <w:r w:rsidRPr="00644304">
              <w:rPr>
                <w:noProof w:val="0"/>
                <w:u w:val="single"/>
              </w:rPr>
              <w:t xml:space="preserve">. Ustanovení zákona o zadávání veřejných zakázek nejsou dotčena. </w:t>
            </w:r>
          </w:p>
          <w:p w14:paraId="31553692" w14:textId="77777777" w:rsidR="00187874" w:rsidRDefault="00187874" w:rsidP="00187874">
            <w:pPr>
              <w:jc w:val="both"/>
              <w:rPr>
                <w:noProof w:val="0"/>
                <w:u w:val="single"/>
              </w:rPr>
            </w:pPr>
          </w:p>
          <w:p w14:paraId="3E851333" w14:textId="08E092F2" w:rsidR="00992152" w:rsidRPr="005D452F" w:rsidRDefault="00992152" w:rsidP="00187874">
            <w:pPr>
              <w:jc w:val="both"/>
              <w:rPr>
                <w:noProof w:val="0"/>
                <w:u w:val="single"/>
              </w:rPr>
            </w:pPr>
            <w:r>
              <w:rPr>
                <w:rStyle w:val="Znakapoznpodarou"/>
              </w:rPr>
              <w:t>3</w:t>
            </w:r>
            <w:r w:rsidRPr="00DD7B65">
              <w:rPr>
                <w:vertAlign w:val="superscript"/>
              </w:rPr>
              <w:t>)</w:t>
            </w:r>
            <w:r w:rsidRPr="007111FF">
              <w:t xml:space="preserve"> § 4 </w:t>
            </w:r>
            <w:r>
              <w:t xml:space="preserve">odst. 1 </w:t>
            </w:r>
            <w:r w:rsidRPr="007111FF">
              <w:t>zákona č. 134/2016 Sb., o zadávání veřejných zakázek, ve znění zákona č. 166/2023 Sb.</w:t>
            </w:r>
          </w:p>
        </w:tc>
        <w:tc>
          <w:tcPr>
            <w:tcW w:w="542" w:type="pct"/>
            <w:shd w:val="clear" w:color="auto" w:fill="auto"/>
            <w:tcMar>
              <w:top w:w="57" w:type="dxa"/>
              <w:bottom w:w="57" w:type="dxa"/>
            </w:tcMar>
          </w:tcPr>
          <w:p w14:paraId="123E58C8" w14:textId="4A5D3AA2" w:rsidR="00187874" w:rsidRPr="00263450" w:rsidRDefault="00187874" w:rsidP="00187874">
            <w:r w:rsidRPr="00163132">
              <w:rPr>
                <w:color w:val="333333"/>
                <w:shd w:val="clear" w:color="auto" w:fill="FFFFFF"/>
              </w:rPr>
              <w:t>32024R1735</w:t>
            </w:r>
          </w:p>
        </w:tc>
        <w:tc>
          <w:tcPr>
            <w:tcW w:w="487" w:type="pct"/>
            <w:shd w:val="clear" w:color="auto" w:fill="auto"/>
            <w:tcMar>
              <w:top w:w="57" w:type="dxa"/>
              <w:bottom w:w="57" w:type="dxa"/>
            </w:tcMar>
          </w:tcPr>
          <w:p w14:paraId="7CE0AE8B" w14:textId="0A5F154E" w:rsidR="00187874" w:rsidRPr="00011D45" w:rsidRDefault="00187874" w:rsidP="00187874">
            <w:pPr>
              <w:jc w:val="both"/>
            </w:pPr>
            <w:r>
              <w:t>Čl. 49 odst. 3</w:t>
            </w:r>
          </w:p>
        </w:tc>
        <w:tc>
          <w:tcPr>
            <w:tcW w:w="1753" w:type="pct"/>
            <w:shd w:val="clear" w:color="auto" w:fill="auto"/>
            <w:tcMar>
              <w:top w:w="57" w:type="dxa"/>
              <w:bottom w:w="57" w:type="dxa"/>
            </w:tcMar>
          </w:tcPr>
          <w:p w14:paraId="52950C0C" w14:textId="281F90E8" w:rsidR="00187874" w:rsidRPr="006906D1" w:rsidRDefault="00187874" w:rsidP="00187874">
            <w:pPr>
              <w:jc w:val="both"/>
            </w:pPr>
            <w:r w:rsidRPr="006906D1">
              <w:t>3. Do 30. června 2026 se čl. 25 odst. 1 použije pouze na smlouvy uzavírané centrálními zadavateli ve smyslu čl. 2 odst. 1 bodu 16 směrnice 2014/24/EU a čl. 2 odst. 1 bodu 12 směrnice 2014/25/EU a na zakázky, jejichž hodnota se rovná alespoň 25 milionům EUR.</w:t>
            </w:r>
          </w:p>
        </w:tc>
      </w:tr>
    </w:tbl>
    <w:p w14:paraId="1E95BD39" w14:textId="77777777" w:rsidR="00CB6402" w:rsidRDefault="00CB6402" w:rsidP="00992152"/>
    <w:p w14:paraId="1AD52404" w14:textId="77777777" w:rsidR="00163132" w:rsidRPr="00D63085" w:rsidRDefault="00163132" w:rsidP="000750A5">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1192"/>
      </w:tblGrid>
      <w:tr w:rsidR="00950F01" w:rsidRPr="00D63085" w14:paraId="06578B9A" w14:textId="77777777" w:rsidTr="00950F01">
        <w:tc>
          <w:tcPr>
            <w:tcW w:w="1001" w:type="pct"/>
            <w:shd w:val="clear" w:color="auto" w:fill="E6E6E6"/>
            <w:tcMar>
              <w:top w:w="57" w:type="dxa"/>
              <w:bottom w:w="57" w:type="dxa"/>
            </w:tcMar>
          </w:tcPr>
          <w:p w14:paraId="69F90006" w14:textId="77777777" w:rsidR="00950F01" w:rsidRPr="00D63085" w:rsidRDefault="00950F01" w:rsidP="005D452F">
            <w:pPr>
              <w:pStyle w:val="bukatabulky"/>
              <w:jc w:val="center"/>
            </w:pPr>
            <w:r w:rsidRPr="00D63085">
              <w:rPr>
                <w:rStyle w:val="tituleknadpisu"/>
              </w:rPr>
              <w:t>Číslo předpisu EU</w:t>
            </w:r>
          </w:p>
        </w:tc>
        <w:tc>
          <w:tcPr>
            <w:tcW w:w="3999" w:type="pct"/>
            <w:shd w:val="clear" w:color="auto" w:fill="E6E6E6"/>
            <w:tcMar>
              <w:top w:w="57" w:type="dxa"/>
              <w:bottom w:w="57" w:type="dxa"/>
            </w:tcMar>
          </w:tcPr>
          <w:p w14:paraId="1082D5FA" w14:textId="77777777" w:rsidR="00950F01" w:rsidRPr="00D63085" w:rsidRDefault="00950F01" w:rsidP="005D452F">
            <w:pPr>
              <w:pStyle w:val="bukatabulky"/>
              <w:jc w:val="center"/>
            </w:pPr>
            <w:r w:rsidRPr="00D63085">
              <w:rPr>
                <w:rStyle w:val="tituleknadpisu"/>
              </w:rPr>
              <w:t>Název předpisu EU</w:t>
            </w:r>
          </w:p>
        </w:tc>
      </w:tr>
      <w:tr w:rsidR="00950F01" w:rsidRPr="00D63085" w14:paraId="478B94E5" w14:textId="77777777" w:rsidTr="00950F01">
        <w:tc>
          <w:tcPr>
            <w:tcW w:w="1001" w:type="pct"/>
            <w:shd w:val="clear" w:color="auto" w:fill="auto"/>
            <w:tcMar>
              <w:top w:w="57" w:type="dxa"/>
              <w:bottom w:w="57" w:type="dxa"/>
            </w:tcMar>
          </w:tcPr>
          <w:p w14:paraId="679333C3" w14:textId="042BC164" w:rsidR="00950F01" w:rsidRPr="00950F01" w:rsidRDefault="00163132" w:rsidP="005C565C">
            <w:pPr>
              <w:jc w:val="center"/>
              <w:rPr>
                <w:color w:val="000000" w:themeColor="text1"/>
              </w:rPr>
            </w:pPr>
            <w:r w:rsidRPr="00163132">
              <w:rPr>
                <w:color w:val="000000" w:themeColor="text1"/>
              </w:rPr>
              <w:t>32024R1735</w:t>
            </w:r>
          </w:p>
        </w:tc>
        <w:tc>
          <w:tcPr>
            <w:tcW w:w="3999" w:type="pct"/>
            <w:shd w:val="clear" w:color="auto" w:fill="auto"/>
            <w:tcMar>
              <w:top w:w="57" w:type="dxa"/>
              <w:bottom w:w="57" w:type="dxa"/>
            </w:tcMar>
          </w:tcPr>
          <w:p w14:paraId="1535AF1C" w14:textId="46450D82" w:rsidR="00950F01" w:rsidRPr="00F27E1D" w:rsidRDefault="00163132" w:rsidP="00F27E1D">
            <w:pPr>
              <w:jc w:val="both"/>
            </w:pPr>
            <w:r>
              <w:t xml:space="preserve">Nařízení Evropského parlamentu a Rady </w:t>
            </w:r>
            <w:r w:rsidRPr="00163132">
              <w:t>(EU) 2024/1735</w:t>
            </w:r>
            <w:r>
              <w:t xml:space="preserve">, </w:t>
            </w:r>
            <w:r w:rsidRPr="00163132">
              <w:t>ze dne 13. června 2024,</w:t>
            </w:r>
            <w:r>
              <w:t xml:space="preserve">  </w:t>
            </w:r>
            <w:r w:rsidRPr="00163132">
              <w:t>kterým se zřizuje rámec opatření pro posílení evropského ekosystému výroby technologií pro nulové čisté emise a mění nařízení (EU) 2018/1724</w:t>
            </w:r>
          </w:p>
        </w:tc>
      </w:tr>
    </w:tbl>
    <w:p w14:paraId="1F8B6C3D" w14:textId="77777777" w:rsidR="000750A5" w:rsidRPr="00AF1B35" w:rsidRDefault="000750A5" w:rsidP="00514670"/>
    <w:p w14:paraId="42C435F4" w14:textId="77777777" w:rsidR="00160E17" w:rsidRPr="00AF1B35" w:rsidRDefault="00160E17"/>
    <w:sectPr w:rsidR="00160E17" w:rsidRPr="00AF1B35" w:rsidSect="00BA2319">
      <w:headerReference w:type="default" r:id="rId11"/>
      <w:footerReference w:type="default" r:id="rId12"/>
      <w:headerReference w:type="first" r:id="rId13"/>
      <w:footerReference w:type="first" r:id="rId14"/>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1DF34" w14:textId="77777777" w:rsidR="0017004F" w:rsidRDefault="0017004F" w:rsidP="000750A5">
      <w:r>
        <w:separator/>
      </w:r>
    </w:p>
  </w:endnote>
  <w:endnote w:type="continuationSeparator" w:id="0">
    <w:p w14:paraId="4A044DBA" w14:textId="77777777" w:rsidR="0017004F" w:rsidRDefault="0017004F" w:rsidP="000750A5">
      <w:r>
        <w:continuationSeparator/>
      </w:r>
    </w:p>
  </w:endnote>
  <w:endnote w:type="continuationNotice" w:id="1">
    <w:p w14:paraId="42E4A8D1" w14:textId="77777777" w:rsidR="0017004F" w:rsidRDefault="001700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EE"/>
    <w:family w:val="swiss"/>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928013"/>
      <w:docPartObj>
        <w:docPartGallery w:val="Page Numbers (Bottom of Page)"/>
        <w:docPartUnique/>
      </w:docPartObj>
    </w:sdtPr>
    <w:sdtEndPr/>
    <w:sdtContent>
      <w:sdt>
        <w:sdtPr>
          <w:id w:val="1706987700"/>
          <w:docPartObj>
            <w:docPartGallery w:val="Page Numbers (Top of Page)"/>
            <w:docPartUnique/>
          </w:docPartObj>
        </w:sdtPr>
        <w:sdtEndPr/>
        <w:sdtContent>
          <w:p w14:paraId="108BB6ED" w14:textId="75C7B8D8" w:rsidR="00077AC6" w:rsidRDefault="00077AC6">
            <w:pPr>
              <w:pStyle w:val="Zpat"/>
              <w:jc w:val="center"/>
            </w:pPr>
            <w:r>
              <w:t xml:space="preserve">Stránka </w:t>
            </w:r>
            <w:r>
              <w:rPr>
                <w:b/>
                <w:bCs/>
              </w:rPr>
              <w:fldChar w:fldCharType="begin"/>
            </w:r>
            <w:r>
              <w:rPr>
                <w:b/>
                <w:bCs/>
              </w:rPr>
              <w:instrText>PAGE</w:instrText>
            </w:r>
            <w:r>
              <w:rPr>
                <w:b/>
                <w:bCs/>
              </w:rPr>
              <w:fldChar w:fldCharType="separate"/>
            </w:r>
            <w:r w:rsidR="00973081">
              <w:rPr>
                <w:b/>
                <w:bCs/>
              </w:rPr>
              <w:t>23</w:t>
            </w:r>
            <w:r>
              <w:rPr>
                <w:b/>
                <w:bCs/>
              </w:rPr>
              <w:fldChar w:fldCharType="end"/>
            </w:r>
            <w:r>
              <w:t xml:space="preserve"> z </w:t>
            </w:r>
            <w:r>
              <w:rPr>
                <w:b/>
                <w:bCs/>
              </w:rPr>
              <w:fldChar w:fldCharType="begin"/>
            </w:r>
            <w:r>
              <w:rPr>
                <w:b/>
                <w:bCs/>
              </w:rPr>
              <w:instrText>NUMPAGES</w:instrText>
            </w:r>
            <w:r>
              <w:rPr>
                <w:b/>
                <w:bCs/>
              </w:rPr>
              <w:fldChar w:fldCharType="separate"/>
            </w:r>
            <w:r w:rsidR="00973081">
              <w:rPr>
                <w:b/>
                <w:bCs/>
              </w:rPr>
              <w:t>37</w:t>
            </w:r>
            <w:r>
              <w:rPr>
                <w:b/>
                <w:bCs/>
              </w:rPr>
              <w:fldChar w:fldCharType="end"/>
            </w:r>
          </w:p>
        </w:sdtContent>
      </w:sdt>
    </w:sdtContent>
  </w:sdt>
  <w:p w14:paraId="5AF55B44" w14:textId="77777777" w:rsidR="00FA7EC7" w:rsidRDefault="00FA7EC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010060"/>
      <w:docPartObj>
        <w:docPartGallery w:val="Page Numbers (Bottom of Page)"/>
        <w:docPartUnique/>
      </w:docPartObj>
    </w:sdtPr>
    <w:sdtEndPr/>
    <w:sdtContent>
      <w:sdt>
        <w:sdtPr>
          <w:id w:val="-1669238322"/>
          <w:docPartObj>
            <w:docPartGallery w:val="Page Numbers (Top of Page)"/>
            <w:docPartUnique/>
          </w:docPartObj>
        </w:sdtPr>
        <w:sdtEndPr/>
        <w:sdtContent>
          <w:p w14:paraId="53AD40C1" w14:textId="1352CB6C" w:rsidR="00077AC6" w:rsidRDefault="00077AC6">
            <w:pPr>
              <w:pStyle w:val="Zpat"/>
              <w:jc w:val="center"/>
            </w:pPr>
            <w:r>
              <w:t xml:space="preserve">Stránka </w:t>
            </w:r>
            <w:r>
              <w:rPr>
                <w:b/>
                <w:bCs/>
              </w:rPr>
              <w:fldChar w:fldCharType="begin"/>
            </w:r>
            <w:r>
              <w:rPr>
                <w:b/>
                <w:bCs/>
              </w:rPr>
              <w:instrText>PAGE</w:instrText>
            </w:r>
            <w:r>
              <w:rPr>
                <w:b/>
                <w:bCs/>
              </w:rPr>
              <w:fldChar w:fldCharType="separate"/>
            </w:r>
            <w:r w:rsidR="00973081">
              <w:rPr>
                <w:b/>
                <w:bCs/>
              </w:rPr>
              <w:t>1</w:t>
            </w:r>
            <w:r>
              <w:rPr>
                <w:b/>
                <w:bCs/>
              </w:rPr>
              <w:fldChar w:fldCharType="end"/>
            </w:r>
            <w:r>
              <w:t xml:space="preserve"> z </w:t>
            </w:r>
            <w:r>
              <w:rPr>
                <w:b/>
                <w:bCs/>
              </w:rPr>
              <w:fldChar w:fldCharType="begin"/>
            </w:r>
            <w:r>
              <w:rPr>
                <w:b/>
                <w:bCs/>
              </w:rPr>
              <w:instrText>NUMPAGES</w:instrText>
            </w:r>
            <w:r>
              <w:rPr>
                <w:b/>
                <w:bCs/>
              </w:rPr>
              <w:fldChar w:fldCharType="separate"/>
            </w:r>
            <w:r w:rsidR="00973081">
              <w:rPr>
                <w:b/>
                <w:bCs/>
              </w:rPr>
              <w:t>37</w:t>
            </w:r>
            <w:r>
              <w:rPr>
                <w:b/>
                <w:bCs/>
              </w:rPr>
              <w:fldChar w:fldCharType="end"/>
            </w:r>
          </w:p>
        </w:sdtContent>
      </w:sdt>
    </w:sdtContent>
  </w:sdt>
  <w:p w14:paraId="3899FEFC" w14:textId="77777777" w:rsidR="00FA7EC7" w:rsidRDefault="00FA7EC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2919F" w14:textId="77777777" w:rsidR="0017004F" w:rsidRDefault="0017004F" w:rsidP="000750A5">
      <w:r>
        <w:separator/>
      </w:r>
    </w:p>
  </w:footnote>
  <w:footnote w:type="continuationSeparator" w:id="0">
    <w:p w14:paraId="3E861C3B" w14:textId="77777777" w:rsidR="0017004F" w:rsidRDefault="0017004F" w:rsidP="000750A5">
      <w:r>
        <w:continuationSeparator/>
      </w:r>
    </w:p>
  </w:footnote>
  <w:footnote w:type="continuationNotice" w:id="1">
    <w:p w14:paraId="292AED1C" w14:textId="77777777" w:rsidR="0017004F" w:rsidRDefault="0017004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955D" w14:textId="77777777" w:rsidR="00BA2319" w:rsidRPr="00BA2319" w:rsidRDefault="00BA2319" w:rsidP="00BA2319">
    <w:pPr>
      <w:pStyle w:val="Zhlav"/>
      <w:jc w:val="right"/>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6B3FB" w14:textId="3416D4BD" w:rsidR="00BA2319" w:rsidRPr="00BA2319" w:rsidRDefault="00BA2319" w:rsidP="00BA2319">
    <w:pPr>
      <w:pStyle w:val="Zhlav"/>
      <w:jc w:val="right"/>
      <w:rPr>
        <w:b/>
      </w:rPr>
    </w:pPr>
    <w:r w:rsidRPr="00BA2319">
      <w:rPr>
        <w:b/>
      </w:rPr>
      <w:t>V</w:t>
    </w:r>
    <w:r w:rsidR="00D43533">
      <w:rPr>
        <w:b/>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73890"/>
    <w:multiLevelType w:val="hybridMultilevel"/>
    <w:tmpl w:val="51104BE6"/>
    <w:lvl w:ilvl="0" w:tplc="E098CFEC">
      <w:start w:val="1"/>
      <w:numFmt w:val="upperLetter"/>
      <w:pStyle w:val="slovanseznam4"/>
      <w:lvlText w:val="%1."/>
      <w:lvlJc w:val="left"/>
      <w:pPr>
        <w:tabs>
          <w:tab w:val="num" w:pos="1199"/>
        </w:tabs>
        <w:ind w:left="1199" w:hanging="357"/>
      </w:pPr>
      <w:rPr>
        <w:rFonts w:hint="default"/>
      </w:rPr>
    </w:lvl>
    <w:lvl w:ilvl="1" w:tplc="04050019" w:tentative="1">
      <w:start w:val="1"/>
      <w:numFmt w:val="lowerLetter"/>
      <w:lvlText w:val="%2."/>
      <w:lvlJc w:val="left"/>
      <w:pPr>
        <w:tabs>
          <w:tab w:val="num" w:pos="1210"/>
        </w:tabs>
        <w:ind w:left="1210" w:hanging="360"/>
      </w:pPr>
    </w:lvl>
    <w:lvl w:ilvl="2" w:tplc="0405001B" w:tentative="1">
      <w:start w:val="1"/>
      <w:numFmt w:val="lowerRoman"/>
      <w:lvlText w:val="%3."/>
      <w:lvlJc w:val="right"/>
      <w:pPr>
        <w:tabs>
          <w:tab w:val="num" w:pos="1930"/>
        </w:tabs>
        <w:ind w:left="1930" w:hanging="180"/>
      </w:pPr>
    </w:lvl>
    <w:lvl w:ilvl="3" w:tplc="0405000F" w:tentative="1">
      <w:start w:val="1"/>
      <w:numFmt w:val="decimal"/>
      <w:lvlText w:val="%4."/>
      <w:lvlJc w:val="left"/>
      <w:pPr>
        <w:tabs>
          <w:tab w:val="num" w:pos="2650"/>
        </w:tabs>
        <w:ind w:left="2650" w:hanging="360"/>
      </w:pPr>
    </w:lvl>
    <w:lvl w:ilvl="4" w:tplc="04050019" w:tentative="1">
      <w:start w:val="1"/>
      <w:numFmt w:val="lowerLetter"/>
      <w:lvlText w:val="%5."/>
      <w:lvlJc w:val="left"/>
      <w:pPr>
        <w:tabs>
          <w:tab w:val="num" w:pos="3370"/>
        </w:tabs>
        <w:ind w:left="3370" w:hanging="360"/>
      </w:pPr>
    </w:lvl>
    <w:lvl w:ilvl="5" w:tplc="0405001B" w:tentative="1">
      <w:start w:val="1"/>
      <w:numFmt w:val="lowerRoman"/>
      <w:lvlText w:val="%6."/>
      <w:lvlJc w:val="right"/>
      <w:pPr>
        <w:tabs>
          <w:tab w:val="num" w:pos="4090"/>
        </w:tabs>
        <w:ind w:left="4090" w:hanging="180"/>
      </w:pPr>
    </w:lvl>
    <w:lvl w:ilvl="6" w:tplc="0405000F" w:tentative="1">
      <w:start w:val="1"/>
      <w:numFmt w:val="decimal"/>
      <w:lvlText w:val="%7."/>
      <w:lvlJc w:val="left"/>
      <w:pPr>
        <w:tabs>
          <w:tab w:val="num" w:pos="4810"/>
        </w:tabs>
        <w:ind w:left="4810" w:hanging="360"/>
      </w:pPr>
    </w:lvl>
    <w:lvl w:ilvl="7" w:tplc="04050019" w:tentative="1">
      <w:start w:val="1"/>
      <w:numFmt w:val="lowerLetter"/>
      <w:lvlText w:val="%8."/>
      <w:lvlJc w:val="left"/>
      <w:pPr>
        <w:tabs>
          <w:tab w:val="num" w:pos="5530"/>
        </w:tabs>
        <w:ind w:left="5530" w:hanging="360"/>
      </w:pPr>
    </w:lvl>
    <w:lvl w:ilvl="8" w:tplc="0405001B" w:tentative="1">
      <w:start w:val="1"/>
      <w:numFmt w:val="lowerRoman"/>
      <w:lvlText w:val="%9."/>
      <w:lvlJc w:val="right"/>
      <w:pPr>
        <w:tabs>
          <w:tab w:val="num" w:pos="6250"/>
        </w:tabs>
        <w:ind w:left="6250" w:hanging="180"/>
      </w:pPr>
    </w:lvl>
  </w:abstractNum>
  <w:abstractNum w:abstractNumId="1" w15:restartNumberingAfterBreak="0">
    <w:nsid w:val="0D4D64F5"/>
    <w:multiLevelType w:val="hybridMultilevel"/>
    <w:tmpl w:val="25B04DAA"/>
    <w:lvl w:ilvl="0" w:tplc="6308892E">
      <w:start w:val="1"/>
      <w:numFmt w:val="decimal"/>
      <w:lvlText w:val="(%1)"/>
      <w:lvlJc w:val="left"/>
      <w:pPr>
        <w:ind w:left="309" w:hanging="360"/>
      </w:pPr>
      <w:rPr>
        <w:rFonts w:hint="default"/>
      </w:rPr>
    </w:lvl>
    <w:lvl w:ilvl="1" w:tplc="04050019" w:tentative="1">
      <w:start w:val="1"/>
      <w:numFmt w:val="lowerLetter"/>
      <w:lvlText w:val="%2."/>
      <w:lvlJc w:val="left"/>
      <w:pPr>
        <w:ind w:left="1029" w:hanging="360"/>
      </w:pPr>
    </w:lvl>
    <w:lvl w:ilvl="2" w:tplc="0405001B" w:tentative="1">
      <w:start w:val="1"/>
      <w:numFmt w:val="lowerRoman"/>
      <w:lvlText w:val="%3."/>
      <w:lvlJc w:val="right"/>
      <w:pPr>
        <w:ind w:left="1749" w:hanging="180"/>
      </w:pPr>
    </w:lvl>
    <w:lvl w:ilvl="3" w:tplc="0405000F" w:tentative="1">
      <w:start w:val="1"/>
      <w:numFmt w:val="decimal"/>
      <w:lvlText w:val="%4."/>
      <w:lvlJc w:val="left"/>
      <w:pPr>
        <w:ind w:left="2469" w:hanging="360"/>
      </w:pPr>
    </w:lvl>
    <w:lvl w:ilvl="4" w:tplc="04050019" w:tentative="1">
      <w:start w:val="1"/>
      <w:numFmt w:val="lowerLetter"/>
      <w:lvlText w:val="%5."/>
      <w:lvlJc w:val="left"/>
      <w:pPr>
        <w:ind w:left="3189" w:hanging="360"/>
      </w:pPr>
    </w:lvl>
    <w:lvl w:ilvl="5" w:tplc="0405001B" w:tentative="1">
      <w:start w:val="1"/>
      <w:numFmt w:val="lowerRoman"/>
      <w:lvlText w:val="%6."/>
      <w:lvlJc w:val="right"/>
      <w:pPr>
        <w:ind w:left="3909" w:hanging="180"/>
      </w:pPr>
    </w:lvl>
    <w:lvl w:ilvl="6" w:tplc="0405000F" w:tentative="1">
      <w:start w:val="1"/>
      <w:numFmt w:val="decimal"/>
      <w:lvlText w:val="%7."/>
      <w:lvlJc w:val="left"/>
      <w:pPr>
        <w:ind w:left="4629" w:hanging="360"/>
      </w:pPr>
    </w:lvl>
    <w:lvl w:ilvl="7" w:tplc="04050019" w:tentative="1">
      <w:start w:val="1"/>
      <w:numFmt w:val="lowerLetter"/>
      <w:lvlText w:val="%8."/>
      <w:lvlJc w:val="left"/>
      <w:pPr>
        <w:ind w:left="5349" w:hanging="360"/>
      </w:pPr>
    </w:lvl>
    <w:lvl w:ilvl="8" w:tplc="0405001B" w:tentative="1">
      <w:start w:val="1"/>
      <w:numFmt w:val="lowerRoman"/>
      <w:lvlText w:val="%9."/>
      <w:lvlJc w:val="right"/>
      <w:pPr>
        <w:ind w:left="6069" w:hanging="180"/>
      </w:pPr>
    </w:lvl>
  </w:abstractNum>
  <w:abstractNum w:abstractNumId="2" w15:restartNumberingAfterBreak="0">
    <w:nsid w:val="105835FD"/>
    <w:multiLevelType w:val="hybridMultilevel"/>
    <w:tmpl w:val="F6721B8A"/>
    <w:lvl w:ilvl="0" w:tplc="60BC86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17267F"/>
    <w:multiLevelType w:val="hybridMultilevel"/>
    <w:tmpl w:val="183404CE"/>
    <w:lvl w:ilvl="0" w:tplc="022C9A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5" w15:restartNumberingAfterBreak="0">
    <w:nsid w:val="17C05413"/>
    <w:multiLevelType w:val="hybridMultilevel"/>
    <w:tmpl w:val="821CCF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2F3D2D"/>
    <w:multiLevelType w:val="hybridMultilevel"/>
    <w:tmpl w:val="2AD6BB7E"/>
    <w:lvl w:ilvl="0" w:tplc="159443F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CF1526"/>
    <w:multiLevelType w:val="hybridMultilevel"/>
    <w:tmpl w:val="53AED6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B2105B"/>
    <w:multiLevelType w:val="hybridMultilevel"/>
    <w:tmpl w:val="DFFA1C46"/>
    <w:lvl w:ilvl="0" w:tplc="F5FA39D4">
      <w:start w:val="1"/>
      <w:numFmt w:val="decimal"/>
      <w:lvlText w:val="(%1)"/>
      <w:lvlJc w:val="left"/>
      <w:pPr>
        <w:ind w:left="1065" w:hanging="360"/>
      </w:pPr>
      <w:rPr>
        <w:rFonts w:hint="default"/>
        <w:color w:val="auto"/>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2C12655"/>
    <w:multiLevelType w:val="hybridMultilevel"/>
    <w:tmpl w:val="42B0C7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12"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601770"/>
    <w:multiLevelType w:val="multilevel"/>
    <w:tmpl w:val="EDA2F96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6FD7A0A"/>
    <w:multiLevelType w:val="hybridMultilevel"/>
    <w:tmpl w:val="29E83700"/>
    <w:lvl w:ilvl="0" w:tplc="C8982070">
      <w:start w:val="3"/>
      <w:numFmt w:val="decimal"/>
      <w:lvlText w:val="(%1)"/>
      <w:lvlJc w:val="left"/>
      <w:pPr>
        <w:ind w:left="30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FD5CD2"/>
    <w:multiLevelType w:val="hybridMultilevel"/>
    <w:tmpl w:val="C99CF854"/>
    <w:lvl w:ilvl="0" w:tplc="D958C27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A2030A"/>
    <w:multiLevelType w:val="hybridMultilevel"/>
    <w:tmpl w:val="7696CD2A"/>
    <w:lvl w:ilvl="0" w:tplc="C1F8F9A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31B606C"/>
    <w:multiLevelType w:val="hybridMultilevel"/>
    <w:tmpl w:val="4A38A94C"/>
    <w:lvl w:ilvl="0" w:tplc="98DCABF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5B1CC9"/>
    <w:multiLevelType w:val="hybridMultilevel"/>
    <w:tmpl w:val="29E83700"/>
    <w:lvl w:ilvl="0" w:tplc="C8982070">
      <w:start w:val="3"/>
      <w:numFmt w:val="decimal"/>
      <w:lvlText w:val="(%1)"/>
      <w:lvlJc w:val="left"/>
      <w:pPr>
        <w:ind w:left="30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5A836AD"/>
    <w:multiLevelType w:val="hybridMultilevel"/>
    <w:tmpl w:val="A050B5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D8F441E"/>
    <w:multiLevelType w:val="hybridMultilevel"/>
    <w:tmpl w:val="BF4AEC2A"/>
    <w:lvl w:ilvl="0" w:tplc="83A611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FB70A6"/>
    <w:multiLevelType w:val="hybridMultilevel"/>
    <w:tmpl w:val="D820BC16"/>
    <w:lvl w:ilvl="0" w:tplc="319A5226">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F44902"/>
    <w:multiLevelType w:val="hybridMultilevel"/>
    <w:tmpl w:val="0C3C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130396"/>
    <w:multiLevelType w:val="hybridMultilevel"/>
    <w:tmpl w:val="76B8E384"/>
    <w:lvl w:ilvl="0" w:tplc="7B0E2F8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76124B"/>
    <w:multiLevelType w:val="hybridMultilevel"/>
    <w:tmpl w:val="9008E8EE"/>
    <w:lvl w:ilvl="0" w:tplc="8F30A814">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75D83E4E"/>
    <w:multiLevelType w:val="hybridMultilevel"/>
    <w:tmpl w:val="D37CCBB0"/>
    <w:lvl w:ilvl="0" w:tplc="B198B1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E856A3"/>
    <w:multiLevelType w:val="hybridMultilevel"/>
    <w:tmpl w:val="50100B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F5A7AE8"/>
    <w:multiLevelType w:val="hybridMultilevel"/>
    <w:tmpl w:val="E33CF612"/>
    <w:lvl w:ilvl="0" w:tplc="A608151A">
      <w:start w:val="3"/>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4"/>
  </w:num>
  <w:num w:numId="3">
    <w:abstractNumId w:val="9"/>
  </w:num>
  <w:num w:numId="4">
    <w:abstractNumId w:val="11"/>
  </w:num>
  <w:num w:numId="5">
    <w:abstractNumId w:val="20"/>
  </w:num>
  <w:num w:numId="6">
    <w:abstractNumId w:val="14"/>
  </w:num>
  <w:num w:numId="7">
    <w:abstractNumId w:val="12"/>
  </w:num>
  <w:num w:numId="8">
    <w:abstractNumId w:val="0"/>
  </w:num>
  <w:num w:numId="9">
    <w:abstractNumId w:val="23"/>
  </w:num>
  <w:num w:numId="10">
    <w:abstractNumId w:val="27"/>
  </w:num>
  <w:num w:numId="11">
    <w:abstractNumId w:val="7"/>
  </w:num>
  <w:num w:numId="12">
    <w:abstractNumId w:val="3"/>
  </w:num>
  <w:num w:numId="13">
    <w:abstractNumId w:val="24"/>
  </w:num>
  <w:num w:numId="14">
    <w:abstractNumId w:val="5"/>
  </w:num>
  <w:num w:numId="15">
    <w:abstractNumId w:val="21"/>
  </w:num>
  <w:num w:numId="16">
    <w:abstractNumId w:val="25"/>
  </w:num>
  <w:num w:numId="17">
    <w:abstractNumId w:val="13"/>
  </w:num>
  <w:num w:numId="18">
    <w:abstractNumId w:val="26"/>
  </w:num>
  <w:num w:numId="19">
    <w:abstractNumId w:val="17"/>
  </w:num>
  <w:num w:numId="20">
    <w:abstractNumId w:val="30"/>
  </w:num>
  <w:num w:numId="21">
    <w:abstractNumId w:val="8"/>
  </w:num>
  <w:num w:numId="22">
    <w:abstractNumId w:val="1"/>
  </w:num>
  <w:num w:numId="23">
    <w:abstractNumId w:val="16"/>
  </w:num>
  <w:num w:numId="24">
    <w:abstractNumId w:val="6"/>
  </w:num>
  <w:num w:numId="25">
    <w:abstractNumId w:val="18"/>
  </w:num>
  <w:num w:numId="26">
    <w:abstractNumId w:val="22"/>
  </w:num>
  <w:num w:numId="27">
    <w:abstractNumId w:val="10"/>
  </w:num>
  <w:num w:numId="28">
    <w:abstractNumId w:val="2"/>
  </w:num>
  <w:num w:numId="29">
    <w:abstractNumId w:val="15"/>
  </w:num>
  <w:num w:numId="30">
    <w:abstractNumId w:val="19"/>
  </w:num>
  <w:num w:numId="31">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cs-CZ"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BF1"/>
    <w:rsid w:val="0000122B"/>
    <w:rsid w:val="0000352D"/>
    <w:rsid w:val="00007CE5"/>
    <w:rsid w:val="000113E7"/>
    <w:rsid w:val="00011D45"/>
    <w:rsid w:val="00021E51"/>
    <w:rsid w:val="00036114"/>
    <w:rsid w:val="00045E89"/>
    <w:rsid w:val="000511E6"/>
    <w:rsid w:val="00052AC1"/>
    <w:rsid w:val="00055BA5"/>
    <w:rsid w:val="000750A5"/>
    <w:rsid w:val="00077AC6"/>
    <w:rsid w:val="00086506"/>
    <w:rsid w:val="00091577"/>
    <w:rsid w:val="00091C00"/>
    <w:rsid w:val="000A2ED8"/>
    <w:rsid w:val="000B00D8"/>
    <w:rsid w:val="000B1C9F"/>
    <w:rsid w:val="000B338E"/>
    <w:rsid w:val="000B3C50"/>
    <w:rsid w:val="000B5E41"/>
    <w:rsid w:val="000C27EE"/>
    <w:rsid w:val="000C552B"/>
    <w:rsid w:val="000D2912"/>
    <w:rsid w:val="000E1D6E"/>
    <w:rsid w:val="000E407B"/>
    <w:rsid w:val="00103BE6"/>
    <w:rsid w:val="00105D31"/>
    <w:rsid w:val="00111CD9"/>
    <w:rsid w:val="00122AA2"/>
    <w:rsid w:val="00122B4F"/>
    <w:rsid w:val="00124BE9"/>
    <w:rsid w:val="00153CAF"/>
    <w:rsid w:val="00160E17"/>
    <w:rsid w:val="0016217B"/>
    <w:rsid w:val="00163132"/>
    <w:rsid w:val="00165523"/>
    <w:rsid w:val="0017004F"/>
    <w:rsid w:val="00173B62"/>
    <w:rsid w:val="0017573E"/>
    <w:rsid w:val="00184A96"/>
    <w:rsid w:val="00187874"/>
    <w:rsid w:val="00187D1D"/>
    <w:rsid w:val="0019227A"/>
    <w:rsid w:val="001A7212"/>
    <w:rsid w:val="001B60D5"/>
    <w:rsid w:val="001D02EB"/>
    <w:rsid w:val="001D3D3C"/>
    <w:rsid w:val="001D4F56"/>
    <w:rsid w:val="001D6191"/>
    <w:rsid w:val="001E086A"/>
    <w:rsid w:val="001E2960"/>
    <w:rsid w:val="001E6F5B"/>
    <w:rsid w:val="00204107"/>
    <w:rsid w:val="002047AE"/>
    <w:rsid w:val="00212651"/>
    <w:rsid w:val="00212FB4"/>
    <w:rsid w:val="00215861"/>
    <w:rsid w:val="00221A8F"/>
    <w:rsid w:val="0023098E"/>
    <w:rsid w:val="00236887"/>
    <w:rsid w:val="00254589"/>
    <w:rsid w:val="00261F16"/>
    <w:rsid w:val="00262CCE"/>
    <w:rsid w:val="00263450"/>
    <w:rsid w:val="00275007"/>
    <w:rsid w:val="002776A1"/>
    <w:rsid w:val="00280568"/>
    <w:rsid w:val="002828DE"/>
    <w:rsid w:val="00291614"/>
    <w:rsid w:val="00291F12"/>
    <w:rsid w:val="002A4012"/>
    <w:rsid w:val="002A56F5"/>
    <w:rsid w:val="002B0565"/>
    <w:rsid w:val="002B0C38"/>
    <w:rsid w:val="002B252D"/>
    <w:rsid w:val="002B54FF"/>
    <w:rsid w:val="002C3017"/>
    <w:rsid w:val="002C6BED"/>
    <w:rsid w:val="002E2677"/>
    <w:rsid w:val="002E4C71"/>
    <w:rsid w:val="002F3D0C"/>
    <w:rsid w:val="002F53CD"/>
    <w:rsid w:val="002F6B6C"/>
    <w:rsid w:val="00300BE1"/>
    <w:rsid w:val="003033ED"/>
    <w:rsid w:val="00306A5D"/>
    <w:rsid w:val="00314AAF"/>
    <w:rsid w:val="00320556"/>
    <w:rsid w:val="00343BAD"/>
    <w:rsid w:val="003455C5"/>
    <w:rsid w:val="0034631F"/>
    <w:rsid w:val="00355AAE"/>
    <w:rsid w:val="00357AAA"/>
    <w:rsid w:val="00366FF5"/>
    <w:rsid w:val="003701D4"/>
    <w:rsid w:val="00376CA1"/>
    <w:rsid w:val="003811E4"/>
    <w:rsid w:val="0038233B"/>
    <w:rsid w:val="003926B0"/>
    <w:rsid w:val="003A0574"/>
    <w:rsid w:val="003A0673"/>
    <w:rsid w:val="003A2C04"/>
    <w:rsid w:val="003B4892"/>
    <w:rsid w:val="003B5562"/>
    <w:rsid w:val="003E1244"/>
    <w:rsid w:val="003E411F"/>
    <w:rsid w:val="003E70FE"/>
    <w:rsid w:val="003F53CD"/>
    <w:rsid w:val="00403274"/>
    <w:rsid w:val="00404CC4"/>
    <w:rsid w:val="0042049A"/>
    <w:rsid w:val="00420781"/>
    <w:rsid w:val="00432617"/>
    <w:rsid w:val="004335FE"/>
    <w:rsid w:val="00450C5A"/>
    <w:rsid w:val="004526F9"/>
    <w:rsid w:val="00465FC7"/>
    <w:rsid w:val="00477788"/>
    <w:rsid w:val="004802B6"/>
    <w:rsid w:val="004902CE"/>
    <w:rsid w:val="00491A99"/>
    <w:rsid w:val="0049450D"/>
    <w:rsid w:val="00497274"/>
    <w:rsid w:val="004A0D74"/>
    <w:rsid w:val="004A2315"/>
    <w:rsid w:val="004A5534"/>
    <w:rsid w:val="004B1F38"/>
    <w:rsid w:val="004C1095"/>
    <w:rsid w:val="004C62B2"/>
    <w:rsid w:val="004E0B54"/>
    <w:rsid w:val="004E4225"/>
    <w:rsid w:val="004E7E42"/>
    <w:rsid w:val="004F2862"/>
    <w:rsid w:val="004F2DD0"/>
    <w:rsid w:val="004F7151"/>
    <w:rsid w:val="00500047"/>
    <w:rsid w:val="0050173D"/>
    <w:rsid w:val="00502561"/>
    <w:rsid w:val="00513DF9"/>
    <w:rsid w:val="0051402B"/>
    <w:rsid w:val="00514670"/>
    <w:rsid w:val="00514AA6"/>
    <w:rsid w:val="0053571F"/>
    <w:rsid w:val="00543CAD"/>
    <w:rsid w:val="00547773"/>
    <w:rsid w:val="0056000C"/>
    <w:rsid w:val="00561339"/>
    <w:rsid w:val="005806D4"/>
    <w:rsid w:val="0058790C"/>
    <w:rsid w:val="00596F2E"/>
    <w:rsid w:val="005B26AC"/>
    <w:rsid w:val="005B6BDD"/>
    <w:rsid w:val="005C565C"/>
    <w:rsid w:val="005D2B7C"/>
    <w:rsid w:val="005D3428"/>
    <w:rsid w:val="005D452F"/>
    <w:rsid w:val="005E2A59"/>
    <w:rsid w:val="005E4E53"/>
    <w:rsid w:val="005E63B4"/>
    <w:rsid w:val="005F45FB"/>
    <w:rsid w:val="005F7B32"/>
    <w:rsid w:val="00612693"/>
    <w:rsid w:val="006219FA"/>
    <w:rsid w:val="00621B53"/>
    <w:rsid w:val="0063116A"/>
    <w:rsid w:val="0063242D"/>
    <w:rsid w:val="00644031"/>
    <w:rsid w:val="00644304"/>
    <w:rsid w:val="00645E93"/>
    <w:rsid w:val="0066495D"/>
    <w:rsid w:val="00665660"/>
    <w:rsid w:val="00666F98"/>
    <w:rsid w:val="00667096"/>
    <w:rsid w:val="0068296D"/>
    <w:rsid w:val="006878AB"/>
    <w:rsid w:val="006906D1"/>
    <w:rsid w:val="00697941"/>
    <w:rsid w:val="006B17BA"/>
    <w:rsid w:val="006C3641"/>
    <w:rsid w:val="006D5FCA"/>
    <w:rsid w:val="006E7005"/>
    <w:rsid w:val="006F0889"/>
    <w:rsid w:val="00705043"/>
    <w:rsid w:val="007069A4"/>
    <w:rsid w:val="00714508"/>
    <w:rsid w:val="00716CBC"/>
    <w:rsid w:val="00721793"/>
    <w:rsid w:val="00721A6C"/>
    <w:rsid w:val="007224A0"/>
    <w:rsid w:val="007300E0"/>
    <w:rsid w:val="007322A9"/>
    <w:rsid w:val="007324A0"/>
    <w:rsid w:val="00734F5F"/>
    <w:rsid w:val="007373ED"/>
    <w:rsid w:val="0073785D"/>
    <w:rsid w:val="007427C6"/>
    <w:rsid w:val="0074454B"/>
    <w:rsid w:val="00755AF2"/>
    <w:rsid w:val="00764524"/>
    <w:rsid w:val="007650B5"/>
    <w:rsid w:val="007836FA"/>
    <w:rsid w:val="007929EC"/>
    <w:rsid w:val="00795C11"/>
    <w:rsid w:val="007B3F74"/>
    <w:rsid w:val="007B5730"/>
    <w:rsid w:val="007B6797"/>
    <w:rsid w:val="007C1F28"/>
    <w:rsid w:val="007C2DA8"/>
    <w:rsid w:val="007F64B4"/>
    <w:rsid w:val="008009E5"/>
    <w:rsid w:val="00803039"/>
    <w:rsid w:val="00803725"/>
    <w:rsid w:val="0080479E"/>
    <w:rsid w:val="008061F3"/>
    <w:rsid w:val="0081536E"/>
    <w:rsid w:val="00817A05"/>
    <w:rsid w:val="008245B9"/>
    <w:rsid w:val="00827143"/>
    <w:rsid w:val="008271EF"/>
    <w:rsid w:val="008329B5"/>
    <w:rsid w:val="008371A2"/>
    <w:rsid w:val="00844D62"/>
    <w:rsid w:val="00845D81"/>
    <w:rsid w:val="0086029E"/>
    <w:rsid w:val="008644D9"/>
    <w:rsid w:val="0087420D"/>
    <w:rsid w:val="00880F3A"/>
    <w:rsid w:val="00886696"/>
    <w:rsid w:val="0089622F"/>
    <w:rsid w:val="008973A8"/>
    <w:rsid w:val="008A1060"/>
    <w:rsid w:val="008A14BC"/>
    <w:rsid w:val="008B2CB2"/>
    <w:rsid w:val="008C59D7"/>
    <w:rsid w:val="008E055D"/>
    <w:rsid w:val="008E2D17"/>
    <w:rsid w:val="008F64EF"/>
    <w:rsid w:val="00926609"/>
    <w:rsid w:val="00946C3F"/>
    <w:rsid w:val="00950135"/>
    <w:rsid w:val="00950F01"/>
    <w:rsid w:val="009541AA"/>
    <w:rsid w:val="00954248"/>
    <w:rsid w:val="00966D8A"/>
    <w:rsid w:val="00973081"/>
    <w:rsid w:val="00980166"/>
    <w:rsid w:val="00986CCD"/>
    <w:rsid w:val="00992152"/>
    <w:rsid w:val="00996C17"/>
    <w:rsid w:val="009A66C2"/>
    <w:rsid w:val="009B196F"/>
    <w:rsid w:val="009C0739"/>
    <w:rsid w:val="009C1091"/>
    <w:rsid w:val="009D0FE4"/>
    <w:rsid w:val="009D48B1"/>
    <w:rsid w:val="009D6FC7"/>
    <w:rsid w:val="009E0D2F"/>
    <w:rsid w:val="009E1706"/>
    <w:rsid w:val="009E3A55"/>
    <w:rsid w:val="009E4BB9"/>
    <w:rsid w:val="009E5C5E"/>
    <w:rsid w:val="009F0EDA"/>
    <w:rsid w:val="009F2E07"/>
    <w:rsid w:val="009F3C5C"/>
    <w:rsid w:val="00A00B51"/>
    <w:rsid w:val="00A01350"/>
    <w:rsid w:val="00A0230E"/>
    <w:rsid w:val="00A038EF"/>
    <w:rsid w:val="00A06EE2"/>
    <w:rsid w:val="00A07776"/>
    <w:rsid w:val="00A108D9"/>
    <w:rsid w:val="00A13334"/>
    <w:rsid w:val="00A267C2"/>
    <w:rsid w:val="00A356B8"/>
    <w:rsid w:val="00A5501A"/>
    <w:rsid w:val="00A74475"/>
    <w:rsid w:val="00A74EF4"/>
    <w:rsid w:val="00A80DE2"/>
    <w:rsid w:val="00A842A2"/>
    <w:rsid w:val="00A85298"/>
    <w:rsid w:val="00A924CA"/>
    <w:rsid w:val="00A95CBA"/>
    <w:rsid w:val="00AA0F86"/>
    <w:rsid w:val="00AA2D14"/>
    <w:rsid w:val="00AB0B9D"/>
    <w:rsid w:val="00AC1588"/>
    <w:rsid w:val="00AC4397"/>
    <w:rsid w:val="00AC4FC9"/>
    <w:rsid w:val="00AD1CAC"/>
    <w:rsid w:val="00AD5CB7"/>
    <w:rsid w:val="00AF1B35"/>
    <w:rsid w:val="00AF5F68"/>
    <w:rsid w:val="00B023BE"/>
    <w:rsid w:val="00B143BD"/>
    <w:rsid w:val="00B25D95"/>
    <w:rsid w:val="00B3357D"/>
    <w:rsid w:val="00B40C7F"/>
    <w:rsid w:val="00B51818"/>
    <w:rsid w:val="00B51F42"/>
    <w:rsid w:val="00B5387D"/>
    <w:rsid w:val="00B54A23"/>
    <w:rsid w:val="00B577BC"/>
    <w:rsid w:val="00B622C1"/>
    <w:rsid w:val="00B63359"/>
    <w:rsid w:val="00B715A3"/>
    <w:rsid w:val="00B71775"/>
    <w:rsid w:val="00B76D2E"/>
    <w:rsid w:val="00B821FF"/>
    <w:rsid w:val="00B846BD"/>
    <w:rsid w:val="00B91A2E"/>
    <w:rsid w:val="00BA2319"/>
    <w:rsid w:val="00BA4190"/>
    <w:rsid w:val="00BA7512"/>
    <w:rsid w:val="00BC5917"/>
    <w:rsid w:val="00BD6334"/>
    <w:rsid w:val="00BE015B"/>
    <w:rsid w:val="00BE4163"/>
    <w:rsid w:val="00BF4E34"/>
    <w:rsid w:val="00BF543F"/>
    <w:rsid w:val="00C00EBF"/>
    <w:rsid w:val="00C0146F"/>
    <w:rsid w:val="00C04A06"/>
    <w:rsid w:val="00C1583F"/>
    <w:rsid w:val="00C21FA8"/>
    <w:rsid w:val="00C2302B"/>
    <w:rsid w:val="00C259F2"/>
    <w:rsid w:val="00C31ACA"/>
    <w:rsid w:val="00C44BD3"/>
    <w:rsid w:val="00C54190"/>
    <w:rsid w:val="00C71E46"/>
    <w:rsid w:val="00C73A1B"/>
    <w:rsid w:val="00C7491D"/>
    <w:rsid w:val="00C83A7A"/>
    <w:rsid w:val="00C840B7"/>
    <w:rsid w:val="00C871AE"/>
    <w:rsid w:val="00C91226"/>
    <w:rsid w:val="00C94569"/>
    <w:rsid w:val="00CA012E"/>
    <w:rsid w:val="00CA1D22"/>
    <w:rsid w:val="00CA37B7"/>
    <w:rsid w:val="00CA46C2"/>
    <w:rsid w:val="00CB6402"/>
    <w:rsid w:val="00CB65AE"/>
    <w:rsid w:val="00CC1978"/>
    <w:rsid w:val="00CC41C6"/>
    <w:rsid w:val="00CC684D"/>
    <w:rsid w:val="00CD53CB"/>
    <w:rsid w:val="00CE5CD4"/>
    <w:rsid w:val="00CF2C17"/>
    <w:rsid w:val="00CF6270"/>
    <w:rsid w:val="00D01693"/>
    <w:rsid w:val="00D02CD3"/>
    <w:rsid w:val="00D0552E"/>
    <w:rsid w:val="00D14AC6"/>
    <w:rsid w:val="00D23BA9"/>
    <w:rsid w:val="00D2599D"/>
    <w:rsid w:val="00D322CF"/>
    <w:rsid w:val="00D33F49"/>
    <w:rsid w:val="00D420B4"/>
    <w:rsid w:val="00D43533"/>
    <w:rsid w:val="00D475A7"/>
    <w:rsid w:val="00D54688"/>
    <w:rsid w:val="00D54B0E"/>
    <w:rsid w:val="00D56B37"/>
    <w:rsid w:val="00D57E8B"/>
    <w:rsid w:val="00D63085"/>
    <w:rsid w:val="00D71263"/>
    <w:rsid w:val="00D76D63"/>
    <w:rsid w:val="00D807C9"/>
    <w:rsid w:val="00D839BC"/>
    <w:rsid w:val="00D96864"/>
    <w:rsid w:val="00D9799C"/>
    <w:rsid w:val="00DA1267"/>
    <w:rsid w:val="00DA3C86"/>
    <w:rsid w:val="00DA54F2"/>
    <w:rsid w:val="00DA5834"/>
    <w:rsid w:val="00DA6622"/>
    <w:rsid w:val="00DA6FD9"/>
    <w:rsid w:val="00DA7729"/>
    <w:rsid w:val="00DC49E2"/>
    <w:rsid w:val="00DC4C1A"/>
    <w:rsid w:val="00DC4D46"/>
    <w:rsid w:val="00DD04B8"/>
    <w:rsid w:val="00DE1AF6"/>
    <w:rsid w:val="00DF3BD1"/>
    <w:rsid w:val="00DF6B4A"/>
    <w:rsid w:val="00E020C9"/>
    <w:rsid w:val="00E04A68"/>
    <w:rsid w:val="00E06B07"/>
    <w:rsid w:val="00E107CB"/>
    <w:rsid w:val="00E10EC3"/>
    <w:rsid w:val="00E1176C"/>
    <w:rsid w:val="00E15AA0"/>
    <w:rsid w:val="00E1679D"/>
    <w:rsid w:val="00E21E69"/>
    <w:rsid w:val="00E22267"/>
    <w:rsid w:val="00E25431"/>
    <w:rsid w:val="00E3381D"/>
    <w:rsid w:val="00E36E51"/>
    <w:rsid w:val="00E430F9"/>
    <w:rsid w:val="00E4682E"/>
    <w:rsid w:val="00E52A96"/>
    <w:rsid w:val="00E54019"/>
    <w:rsid w:val="00E54C90"/>
    <w:rsid w:val="00E55FB5"/>
    <w:rsid w:val="00E70504"/>
    <w:rsid w:val="00E82E3B"/>
    <w:rsid w:val="00E94F14"/>
    <w:rsid w:val="00EA3FBC"/>
    <w:rsid w:val="00EB35A0"/>
    <w:rsid w:val="00EB6DF9"/>
    <w:rsid w:val="00EC1F03"/>
    <w:rsid w:val="00EC1F27"/>
    <w:rsid w:val="00EC5BFD"/>
    <w:rsid w:val="00EC7EF5"/>
    <w:rsid w:val="00ED0CE1"/>
    <w:rsid w:val="00ED5205"/>
    <w:rsid w:val="00ED61AD"/>
    <w:rsid w:val="00EE1DDA"/>
    <w:rsid w:val="00EE576F"/>
    <w:rsid w:val="00EF37BE"/>
    <w:rsid w:val="00EF4810"/>
    <w:rsid w:val="00EF68FF"/>
    <w:rsid w:val="00EF6A12"/>
    <w:rsid w:val="00F00028"/>
    <w:rsid w:val="00F01EE3"/>
    <w:rsid w:val="00F023CC"/>
    <w:rsid w:val="00F109D6"/>
    <w:rsid w:val="00F205E2"/>
    <w:rsid w:val="00F241E8"/>
    <w:rsid w:val="00F27E1D"/>
    <w:rsid w:val="00F316AE"/>
    <w:rsid w:val="00F328AB"/>
    <w:rsid w:val="00F371F1"/>
    <w:rsid w:val="00F42F7B"/>
    <w:rsid w:val="00F521F8"/>
    <w:rsid w:val="00F522AF"/>
    <w:rsid w:val="00F61D0F"/>
    <w:rsid w:val="00F637F1"/>
    <w:rsid w:val="00F72525"/>
    <w:rsid w:val="00F90C25"/>
    <w:rsid w:val="00F95D94"/>
    <w:rsid w:val="00FA7EC7"/>
    <w:rsid w:val="00FB3141"/>
    <w:rsid w:val="00FB589F"/>
    <w:rsid w:val="00FB58A3"/>
    <w:rsid w:val="00FC5BF1"/>
    <w:rsid w:val="00FD2B49"/>
    <w:rsid w:val="00FE5A0F"/>
    <w:rsid w:val="00FF7BA8"/>
    <w:rsid w:val="04B79F9E"/>
    <w:rsid w:val="0822218B"/>
    <w:rsid w:val="2A2D66AD"/>
    <w:rsid w:val="2EA2EAEA"/>
    <w:rsid w:val="2FCA2867"/>
    <w:rsid w:val="303DD6B2"/>
    <w:rsid w:val="38DD680B"/>
    <w:rsid w:val="39A2906B"/>
    <w:rsid w:val="3B555370"/>
    <w:rsid w:val="3E33A7CE"/>
    <w:rsid w:val="3E657032"/>
    <w:rsid w:val="46C17434"/>
    <w:rsid w:val="46C3B2E8"/>
    <w:rsid w:val="4B4A4011"/>
    <w:rsid w:val="4C16BD4A"/>
    <w:rsid w:val="4C9584F6"/>
    <w:rsid w:val="508346CA"/>
    <w:rsid w:val="53ECF758"/>
    <w:rsid w:val="5A1C2FEC"/>
    <w:rsid w:val="6A94AEBC"/>
    <w:rsid w:val="6EFCBA69"/>
    <w:rsid w:val="7018B83C"/>
    <w:rsid w:val="70E71B75"/>
    <w:rsid w:val="7F4FA545"/>
    <w:rsid w:val="7F6D97DA"/>
    <w:rsid w:val="7FD12E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A1995"/>
  <w15:docId w15:val="{A84E7C09-F74E-438B-B0D7-0D6EBA664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ální"/>
    <w:qFormat/>
    <w:rsid w:val="00C44BD3"/>
    <w:rPr>
      <w:noProof/>
      <w:sz w:val="24"/>
      <w:szCs w:val="24"/>
    </w:rPr>
  </w:style>
  <w:style w:type="paragraph" w:styleId="Nadpis1">
    <w:name w:val="heading 1"/>
    <w:aliases w:val="nadpis 1"/>
    <w:basedOn w:val="Normln"/>
    <w:next w:val="Normln"/>
    <w:qFormat/>
    <w:rsid w:val="00AC1588"/>
    <w:pPr>
      <w:keepNext/>
      <w:spacing w:before="240" w:after="120"/>
      <w:jc w:val="center"/>
      <w:outlineLvl w:val="0"/>
    </w:pPr>
    <w:rPr>
      <w:rFonts w:cs="Arial"/>
      <w:b/>
      <w:bCs/>
      <w:kern w:val="32"/>
      <w:sz w:val="32"/>
      <w:szCs w:val="32"/>
    </w:rPr>
  </w:style>
  <w:style w:type="paragraph" w:styleId="Nadpis2">
    <w:name w:val="heading 2"/>
    <w:aliases w:val="nadpis 2"/>
    <w:basedOn w:val="Normln"/>
    <w:next w:val="Normln"/>
    <w:qFormat/>
    <w:rsid w:val="00AC1588"/>
    <w:pPr>
      <w:keepNext/>
      <w:spacing w:before="240" w:after="120"/>
      <w:jc w:val="center"/>
      <w:outlineLvl w:val="1"/>
    </w:pPr>
    <w:rPr>
      <w:rFonts w:cs="Arial"/>
      <w:b/>
      <w:bCs/>
      <w:iCs/>
      <w:sz w:val="28"/>
      <w:szCs w:val="28"/>
    </w:rPr>
  </w:style>
  <w:style w:type="paragraph" w:styleId="Nadpis3">
    <w:name w:val="heading 3"/>
    <w:aliases w:val="nadpis 3"/>
    <w:basedOn w:val="Normln"/>
    <w:next w:val="Normln"/>
    <w:qFormat/>
    <w:rsid w:val="00DA7729"/>
    <w:pPr>
      <w:keepNext/>
      <w:spacing w:before="240" w:after="60"/>
      <w:outlineLvl w:val="2"/>
    </w:pPr>
    <w:rPr>
      <w:rFonts w:cs="Arial"/>
      <w:b/>
      <w:bCs/>
      <w:szCs w:val="26"/>
    </w:rPr>
  </w:style>
  <w:style w:type="paragraph" w:styleId="Nadpis4">
    <w:name w:val="heading 4"/>
    <w:aliases w:val="nadpis 4"/>
    <w:basedOn w:val="Normln"/>
    <w:next w:val="Normln"/>
    <w:qFormat/>
    <w:rsid w:val="00055BA5"/>
    <w:pPr>
      <w:keepNext/>
      <w:spacing w:before="240" w:after="60"/>
      <w:outlineLvl w:val="3"/>
    </w:pPr>
    <w:rPr>
      <w:b/>
      <w:bCs/>
      <w:szCs w:val="28"/>
    </w:rPr>
  </w:style>
  <w:style w:type="paragraph" w:styleId="Nadpis5">
    <w:name w:val="heading 5"/>
    <w:aliases w:val="nadpis 5"/>
    <w:basedOn w:val="Normln"/>
    <w:next w:val="Normln"/>
    <w:qFormat/>
    <w:rsid w:val="002A56F5"/>
    <w:pPr>
      <w:keepNext/>
      <w:spacing w:before="240" w:after="60"/>
      <w:outlineLvl w:val="4"/>
    </w:pPr>
    <w:rPr>
      <w:b/>
      <w:bCs/>
      <w:iCs/>
      <w:szCs w:val="26"/>
    </w:rPr>
  </w:style>
  <w:style w:type="paragraph" w:styleId="Nadpis7">
    <w:name w:val="heading 7"/>
    <w:basedOn w:val="Normln"/>
    <w:next w:val="Normln"/>
    <w:link w:val="Nadpis7Char"/>
    <w:uiPriority w:val="9"/>
    <w:semiHidden/>
    <w:unhideWhenUsed/>
    <w:qFormat/>
    <w:rsid w:val="00B3357D"/>
    <w:pPr>
      <w:keepNext/>
      <w:keepLines/>
      <w:spacing w:before="40"/>
      <w:jc w:val="both"/>
      <w:outlineLvl w:val="6"/>
    </w:pPr>
    <w:rPr>
      <w:rFonts w:asciiTheme="majorHAnsi" w:eastAsiaTheme="majorEastAsia" w:hAnsiTheme="majorHAnsi" w:cstheme="majorBidi"/>
      <w:i/>
      <w:iCs/>
      <w:noProof w:val="0"/>
      <w:color w:val="1F4D78" w:themeColor="accent1" w:themeShade="7F"/>
      <w:szCs w:val="20"/>
    </w:rPr>
  </w:style>
  <w:style w:type="paragraph" w:styleId="Nadpis8">
    <w:name w:val="heading 8"/>
    <w:basedOn w:val="Normln"/>
    <w:next w:val="Normln"/>
    <w:link w:val="Nadpis8Char"/>
    <w:uiPriority w:val="9"/>
    <w:semiHidden/>
    <w:unhideWhenUsed/>
    <w:qFormat/>
    <w:rsid w:val="00B3357D"/>
    <w:pPr>
      <w:keepNext/>
      <w:keepLines/>
      <w:spacing w:before="40"/>
      <w:jc w:val="both"/>
      <w:outlineLvl w:val="7"/>
    </w:pPr>
    <w:rPr>
      <w:rFonts w:asciiTheme="majorHAnsi" w:eastAsiaTheme="majorEastAsia" w:hAnsiTheme="majorHAnsi" w:cstheme="majorBidi"/>
      <w:noProof w:val="0"/>
      <w:color w:val="272727" w:themeColor="text1" w:themeTint="D8"/>
      <w:sz w:val="21"/>
      <w:szCs w:val="21"/>
    </w:rPr>
  </w:style>
  <w:style w:type="paragraph" w:styleId="Nadpis9">
    <w:name w:val="heading 9"/>
    <w:basedOn w:val="Normln"/>
    <w:next w:val="Normln"/>
    <w:link w:val="Nadpis9Char"/>
    <w:uiPriority w:val="9"/>
    <w:semiHidden/>
    <w:unhideWhenUsed/>
    <w:qFormat/>
    <w:rsid w:val="00B3357D"/>
    <w:pPr>
      <w:keepNext/>
      <w:keepLines/>
      <w:spacing w:before="40"/>
      <w:jc w:val="both"/>
      <w:outlineLvl w:val="8"/>
    </w:pPr>
    <w:rPr>
      <w:rFonts w:asciiTheme="majorHAnsi" w:eastAsiaTheme="majorEastAsia" w:hAnsiTheme="majorHAnsi" w:cstheme="majorBidi"/>
      <w:i/>
      <w:iCs/>
      <w:noProof w:val="0"/>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
    <w:name w:val="část"/>
    <w:basedOn w:val="Normln"/>
    <w:next w:val="Normln"/>
    <w:rsid w:val="00CF2C17"/>
    <w:pPr>
      <w:keepNext/>
      <w:spacing w:before="360"/>
      <w:jc w:val="center"/>
      <w:outlineLvl w:val="0"/>
    </w:pPr>
    <w:rPr>
      <w:caps/>
    </w:rPr>
  </w:style>
  <w:style w:type="paragraph" w:customStyle="1" w:styleId="hlava">
    <w:name w:val="hlava"/>
    <w:basedOn w:val="Normln"/>
    <w:next w:val="Normln"/>
    <w:rsid w:val="002F3D0C"/>
    <w:pPr>
      <w:keepNext/>
      <w:spacing w:before="240"/>
      <w:jc w:val="center"/>
      <w:outlineLvl w:val="1"/>
    </w:pPr>
  </w:style>
  <w:style w:type="paragraph" w:customStyle="1" w:styleId="zkon-nadpis">
    <w:name w:val="zákon - nadpis"/>
    <w:basedOn w:val="Normln"/>
    <w:rsid w:val="004E0B54"/>
    <w:pPr>
      <w:spacing w:after="120"/>
      <w:jc w:val="center"/>
    </w:pPr>
    <w:rPr>
      <w:b/>
      <w:lang w:val="en-US"/>
    </w:rPr>
  </w:style>
  <w:style w:type="paragraph" w:customStyle="1" w:styleId="dl">
    <w:name w:val="díl"/>
    <w:basedOn w:val="Normln"/>
    <w:next w:val="Normln"/>
    <w:rsid w:val="002F3D0C"/>
    <w:pPr>
      <w:keepNext/>
      <w:spacing w:before="240"/>
      <w:jc w:val="center"/>
      <w:outlineLvl w:val="2"/>
    </w:pPr>
  </w:style>
  <w:style w:type="paragraph" w:customStyle="1" w:styleId="oddl">
    <w:name w:val="oddíl"/>
    <w:basedOn w:val="Normln"/>
    <w:next w:val="Normln"/>
    <w:rsid w:val="002F3D0C"/>
    <w:pPr>
      <w:keepNext/>
      <w:spacing w:before="240"/>
      <w:jc w:val="center"/>
      <w:outlineLvl w:val="3"/>
    </w:pPr>
  </w:style>
  <w:style w:type="paragraph" w:customStyle="1" w:styleId="pododdl">
    <w:name w:val="pododdíl"/>
    <w:basedOn w:val="Normln"/>
    <w:next w:val="Normln"/>
    <w:rsid w:val="002F3D0C"/>
    <w:pPr>
      <w:keepNext/>
      <w:spacing w:before="240"/>
      <w:jc w:val="center"/>
      <w:outlineLvl w:val="4"/>
    </w:pPr>
  </w:style>
  <w:style w:type="paragraph" w:customStyle="1" w:styleId="paragraf">
    <w:name w:val="paragraf"/>
    <w:basedOn w:val="Normln"/>
    <w:next w:val="odstavec"/>
    <w:rsid w:val="000B338E"/>
    <w:pPr>
      <w:keepNext/>
      <w:spacing w:before="240"/>
      <w:jc w:val="center"/>
    </w:pPr>
  </w:style>
  <w:style w:type="paragraph" w:customStyle="1" w:styleId="odstavec">
    <w:name w:val="odstavec"/>
    <w:basedOn w:val="Normln"/>
    <w:rsid w:val="003E70FE"/>
    <w:pPr>
      <w:spacing w:before="120"/>
      <w:ind w:firstLine="482"/>
      <w:jc w:val="both"/>
    </w:pPr>
  </w:style>
  <w:style w:type="paragraph" w:customStyle="1" w:styleId="parlament">
    <w:name w:val="parlament"/>
    <w:basedOn w:val="Normln"/>
    <w:rsid w:val="00C7491D"/>
  </w:style>
  <w:style w:type="paragraph" w:customStyle="1" w:styleId="bod">
    <w:name w:val="bod"/>
    <w:basedOn w:val="slovanseznam2"/>
    <w:rsid w:val="00122AA2"/>
    <w:pPr>
      <w:numPr>
        <w:numId w:val="0"/>
      </w:numPr>
      <w:tabs>
        <w:tab w:val="left" w:pos="357"/>
      </w:tabs>
      <w:spacing w:before="0"/>
      <w:ind w:left="714" w:hanging="357"/>
    </w:pPr>
  </w:style>
  <w:style w:type="paragraph" w:styleId="slovanseznam2">
    <w:name w:val="List Number 2"/>
    <w:aliases w:val="číslovaný seznam 2"/>
    <w:basedOn w:val="odsazentext2"/>
    <w:rsid w:val="008371A2"/>
    <w:pPr>
      <w:numPr>
        <w:numId w:val="6"/>
      </w:numPr>
    </w:pPr>
  </w:style>
  <w:style w:type="paragraph" w:customStyle="1" w:styleId="odsazentext2">
    <w:name w:val="odsazený text 2"/>
    <w:basedOn w:val="Normln"/>
    <w:rsid w:val="007836FA"/>
    <w:pPr>
      <w:spacing w:before="120"/>
      <w:ind w:left="720"/>
      <w:jc w:val="both"/>
    </w:pPr>
  </w:style>
  <w:style w:type="paragraph" w:customStyle="1" w:styleId="psmeno">
    <w:name w:val="písmeno"/>
    <w:basedOn w:val="slovanseznam"/>
    <w:rsid w:val="00122AA2"/>
    <w:pPr>
      <w:numPr>
        <w:numId w:val="0"/>
      </w:numPr>
      <w:tabs>
        <w:tab w:val="left" w:pos="357"/>
      </w:tabs>
      <w:spacing w:before="0"/>
      <w:ind w:left="357" w:hanging="357"/>
    </w:pPr>
  </w:style>
  <w:style w:type="paragraph" w:styleId="slovanseznam">
    <w:name w:val="List Number"/>
    <w:aliases w:val="číslovaný seznam 1"/>
    <w:basedOn w:val="odsazentext1"/>
    <w:rsid w:val="007836FA"/>
    <w:pPr>
      <w:numPr>
        <w:numId w:val="5"/>
      </w:numPr>
      <w:ind w:left="360" w:hanging="360"/>
    </w:pPr>
    <w:rPr>
      <w:lang w:val="en-US"/>
    </w:rPr>
  </w:style>
  <w:style w:type="paragraph" w:customStyle="1" w:styleId="odsazentext1">
    <w:name w:val="odsazený text 1"/>
    <w:basedOn w:val="Normln"/>
    <w:rsid w:val="007836FA"/>
    <w:pPr>
      <w:spacing w:before="120"/>
      <w:ind w:left="360"/>
      <w:jc w:val="both"/>
    </w:pPr>
  </w:style>
  <w:style w:type="paragraph" w:customStyle="1" w:styleId="skupinovnadpis">
    <w:name w:val="skupinový nadpis"/>
    <w:basedOn w:val="Normln"/>
    <w:rsid w:val="000B338E"/>
    <w:pPr>
      <w:keepNext/>
      <w:spacing w:before="240"/>
      <w:jc w:val="center"/>
    </w:pPr>
    <w:rPr>
      <w:b/>
    </w:rPr>
  </w:style>
  <w:style w:type="paragraph" w:customStyle="1" w:styleId="zkon">
    <w:name w:val="zákon"/>
    <w:basedOn w:val="Normln"/>
    <w:rsid w:val="000B338E"/>
    <w:pPr>
      <w:keepNext/>
      <w:spacing w:after="240"/>
      <w:jc w:val="center"/>
    </w:pPr>
    <w:rPr>
      <w:caps/>
    </w:rPr>
  </w:style>
  <w:style w:type="paragraph" w:customStyle="1" w:styleId="varianta">
    <w:name w:val="varianta"/>
    <w:basedOn w:val="Normln"/>
    <w:rsid w:val="00122B4F"/>
    <w:pPr>
      <w:spacing w:before="240"/>
    </w:pPr>
    <w:rPr>
      <w:caps/>
    </w:rPr>
  </w:style>
  <w:style w:type="paragraph" w:customStyle="1" w:styleId="zdvodnn">
    <w:name w:val="zdůvodnění"/>
    <w:basedOn w:val="Normln"/>
    <w:next w:val="text"/>
    <w:rsid w:val="00A95CBA"/>
    <w:pPr>
      <w:keepNext/>
      <w:spacing w:before="240" w:after="120"/>
    </w:pPr>
    <w:rPr>
      <w:b/>
    </w:rPr>
  </w:style>
  <w:style w:type="paragraph" w:customStyle="1" w:styleId="text">
    <w:name w:val="text"/>
    <w:basedOn w:val="Normln"/>
    <w:rsid w:val="004E0B54"/>
    <w:pPr>
      <w:spacing w:before="120"/>
      <w:ind w:firstLine="357"/>
      <w:jc w:val="both"/>
    </w:pPr>
  </w:style>
  <w:style w:type="paragraph" w:customStyle="1" w:styleId="slovanseznam3">
    <w:name w:val="číslovaný seznam 3"/>
    <w:basedOn w:val="odsazentext3"/>
    <w:rsid w:val="004E0B54"/>
    <w:pPr>
      <w:numPr>
        <w:numId w:val="7"/>
      </w:numPr>
      <w:ind w:left="1071" w:hanging="357"/>
    </w:pPr>
  </w:style>
  <w:style w:type="paragraph" w:customStyle="1" w:styleId="odsazentext3">
    <w:name w:val="odsazený text 3"/>
    <w:basedOn w:val="Normln"/>
    <w:link w:val="odsazentext3Char"/>
    <w:rsid w:val="007836FA"/>
    <w:pPr>
      <w:spacing w:before="120"/>
      <w:ind w:left="1066"/>
      <w:jc w:val="both"/>
    </w:pPr>
  </w:style>
  <w:style w:type="character" w:customStyle="1" w:styleId="odsazentext3Char">
    <w:name w:val="odsazený text 3 Char"/>
    <w:link w:val="odsazentext3"/>
    <w:rsid w:val="007836FA"/>
    <w:rPr>
      <w:sz w:val="24"/>
      <w:szCs w:val="24"/>
      <w:lang w:val="cs-CZ" w:eastAsia="cs-CZ" w:bidi="ar-SA"/>
    </w:rPr>
  </w:style>
  <w:style w:type="paragraph" w:customStyle="1" w:styleId="slovanseznam4">
    <w:name w:val="číslovaný seznam 4"/>
    <w:basedOn w:val="odsazentext4"/>
    <w:rsid w:val="008371A2"/>
    <w:pPr>
      <w:numPr>
        <w:numId w:val="8"/>
      </w:numPr>
    </w:pPr>
  </w:style>
  <w:style w:type="paragraph" w:customStyle="1" w:styleId="odsazentext4">
    <w:name w:val="odsazený text 4"/>
    <w:basedOn w:val="Normln"/>
    <w:link w:val="odsazentext4CharChar"/>
    <w:rsid w:val="007836FA"/>
    <w:pPr>
      <w:spacing w:before="120"/>
      <w:ind w:left="1426"/>
      <w:jc w:val="both"/>
    </w:pPr>
  </w:style>
  <w:style w:type="character" w:customStyle="1" w:styleId="odsazentext4CharChar">
    <w:name w:val="odsazený text 4 Char Char"/>
    <w:link w:val="odsazentext4"/>
    <w:rsid w:val="007836FA"/>
    <w:rPr>
      <w:sz w:val="24"/>
      <w:szCs w:val="24"/>
      <w:lang w:val="cs-CZ" w:eastAsia="cs-CZ" w:bidi="ar-SA"/>
    </w:rPr>
  </w:style>
  <w:style w:type="character" w:customStyle="1" w:styleId="tituleknadpisu">
    <w:name w:val="titulek nadpisu"/>
    <w:rsid w:val="002F3D0C"/>
    <w:rPr>
      <w:b/>
    </w:rPr>
  </w:style>
  <w:style w:type="paragraph" w:customStyle="1" w:styleId="neslovanseznam1">
    <w:name w:val="nečíslovaný seznam 1"/>
    <w:basedOn w:val="slovanseznam"/>
    <w:rsid w:val="00734F5F"/>
    <w:pPr>
      <w:numPr>
        <w:numId w:val="1"/>
      </w:numPr>
    </w:pPr>
  </w:style>
  <w:style w:type="paragraph" w:customStyle="1" w:styleId="neslovanseznam2">
    <w:name w:val="nečíslovaný seznam 2"/>
    <w:basedOn w:val="slovanseznam2"/>
    <w:rsid w:val="00734F5F"/>
    <w:pPr>
      <w:numPr>
        <w:numId w:val="2"/>
      </w:numPr>
    </w:pPr>
    <w:rPr>
      <w:lang w:val="en-US"/>
    </w:rPr>
  </w:style>
  <w:style w:type="paragraph" w:customStyle="1" w:styleId="neslovanseznam3">
    <w:name w:val="nečíslovaný seznam 3"/>
    <w:basedOn w:val="slovanseznam3"/>
    <w:rsid w:val="00734F5F"/>
    <w:pPr>
      <w:numPr>
        <w:numId w:val="3"/>
      </w:numPr>
    </w:pPr>
    <w:rPr>
      <w:lang w:val="en-US"/>
    </w:rPr>
  </w:style>
  <w:style w:type="paragraph" w:customStyle="1" w:styleId="neslovanseznam4">
    <w:name w:val="nečíslovaný seznam 4"/>
    <w:basedOn w:val="slovanseznam4"/>
    <w:rsid w:val="00734F5F"/>
    <w:pPr>
      <w:numPr>
        <w:numId w:val="4"/>
      </w:numPr>
    </w:pPr>
    <w:rPr>
      <w:lang w:val="en-US"/>
    </w:rPr>
  </w:style>
  <w:style w:type="character" w:customStyle="1" w:styleId="poznmkapodarou">
    <w:name w:val="poznámka pod čarou"/>
    <w:rsid w:val="00A0230E"/>
    <w:rPr>
      <w:vertAlign w:val="superscript"/>
    </w:rPr>
  </w:style>
  <w:style w:type="paragraph" w:customStyle="1" w:styleId="novelizanbod">
    <w:name w:val="novelizační bod"/>
    <w:basedOn w:val="Normln"/>
    <w:rsid w:val="00C00EBF"/>
    <w:pPr>
      <w:tabs>
        <w:tab w:val="left" w:pos="357"/>
      </w:tabs>
      <w:spacing w:before="120"/>
    </w:pPr>
  </w:style>
  <w:style w:type="paragraph" w:customStyle="1" w:styleId="textnovelizanhobodu">
    <w:name w:val="text novelizačního bodu"/>
    <w:basedOn w:val="Normln"/>
    <w:next w:val="novelizanbod"/>
    <w:rsid w:val="009E0D2F"/>
    <w:pPr>
      <w:spacing w:before="120"/>
      <w:ind w:left="357"/>
    </w:pPr>
  </w:style>
  <w:style w:type="paragraph" w:customStyle="1" w:styleId="odsazentext0">
    <w:name w:val="odsazený text 0"/>
    <w:basedOn w:val="Normln"/>
    <w:next w:val="oddl"/>
    <w:rsid w:val="007836FA"/>
    <w:pPr>
      <w:spacing w:before="120"/>
      <w:jc w:val="both"/>
    </w:pPr>
  </w:style>
  <w:style w:type="paragraph" w:customStyle="1" w:styleId="citacepoznmky">
    <w:name w:val="citace poznámky"/>
    <w:basedOn w:val="Normln"/>
    <w:rsid w:val="00DA3C86"/>
    <w:pPr>
      <w:pBdr>
        <w:top w:val="single" w:sz="4" w:space="4" w:color="auto"/>
      </w:pBdr>
      <w:tabs>
        <w:tab w:val="left" w:pos="357"/>
      </w:tabs>
      <w:spacing w:before="120"/>
      <w:jc w:val="both"/>
    </w:pPr>
    <w:rPr>
      <w:lang w:val="en-US"/>
    </w:rPr>
  </w:style>
  <w:style w:type="paragraph" w:customStyle="1" w:styleId="celex">
    <w:name w:val="celex"/>
    <w:basedOn w:val="Normln"/>
    <w:qFormat/>
    <w:rsid w:val="00EF37BE"/>
    <w:pPr>
      <w:spacing w:before="120"/>
    </w:pPr>
    <w:rPr>
      <w:i/>
      <w:sz w:val="20"/>
    </w:rPr>
  </w:style>
  <w:style w:type="character" w:customStyle="1" w:styleId="zvraznncelexu">
    <w:name w:val="zvýraznění celexu"/>
    <w:qFormat/>
    <w:rsid w:val="00B63359"/>
    <w:rPr>
      <w:u w:val="single"/>
    </w:rPr>
  </w:style>
  <w:style w:type="table" w:customStyle="1" w:styleId="tabulka">
    <w:name w:val="tabulka"/>
    <w:basedOn w:val="Mkatabulky"/>
    <w:rsid w:val="0081536E"/>
    <w:tblPr/>
    <w:tcPr>
      <w:tcMar>
        <w:top w:w="57" w:type="dxa"/>
        <w:bottom w:w="57" w:type="dxa"/>
      </w:tcMar>
    </w:tcPr>
  </w:style>
  <w:style w:type="paragraph" w:customStyle="1" w:styleId="bukatabulky">
    <w:name w:val="buňka tabulky"/>
    <w:basedOn w:val="Normln"/>
    <w:qFormat/>
    <w:rsid w:val="00BA4190"/>
    <w:pPr>
      <w:spacing w:before="120" w:after="120"/>
      <w:jc w:val="both"/>
    </w:pPr>
  </w:style>
  <w:style w:type="table" w:styleId="Mkatabulky">
    <w:name w:val="Table Grid"/>
    <w:basedOn w:val="Normlntabulka"/>
    <w:rsid w:val="008153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podarou">
    <w:name w:val="footnote text"/>
    <w:basedOn w:val="Normln"/>
    <w:link w:val="TextpoznpodarouChar"/>
    <w:rsid w:val="000750A5"/>
    <w:rPr>
      <w:sz w:val="20"/>
      <w:szCs w:val="20"/>
    </w:rPr>
  </w:style>
  <w:style w:type="character" w:customStyle="1" w:styleId="TextpoznpodarouChar">
    <w:name w:val="Text pozn. pod čarou Char"/>
    <w:link w:val="Textpoznpodarou"/>
    <w:rsid w:val="000750A5"/>
    <w:rPr>
      <w:noProof/>
    </w:rPr>
  </w:style>
  <w:style w:type="character" w:styleId="Znakapoznpodarou">
    <w:name w:val="footnote reference"/>
    <w:rsid w:val="000750A5"/>
    <w:rPr>
      <w:vertAlign w:val="superscript"/>
    </w:rPr>
  </w:style>
  <w:style w:type="paragraph" w:styleId="Zhlav">
    <w:name w:val="header"/>
    <w:basedOn w:val="Normln"/>
    <w:link w:val="ZhlavChar"/>
    <w:rsid w:val="00AB0B9D"/>
    <w:pPr>
      <w:tabs>
        <w:tab w:val="center" w:pos="4536"/>
        <w:tab w:val="right" w:pos="9072"/>
      </w:tabs>
    </w:pPr>
  </w:style>
  <w:style w:type="character" w:customStyle="1" w:styleId="ZhlavChar">
    <w:name w:val="Záhlaví Char"/>
    <w:link w:val="Zhlav"/>
    <w:rsid w:val="00AB0B9D"/>
    <w:rPr>
      <w:noProof/>
      <w:sz w:val="24"/>
      <w:szCs w:val="24"/>
    </w:rPr>
  </w:style>
  <w:style w:type="paragraph" w:styleId="Zpat">
    <w:name w:val="footer"/>
    <w:basedOn w:val="Normln"/>
    <w:link w:val="ZpatChar"/>
    <w:uiPriority w:val="99"/>
    <w:rsid w:val="00AB0B9D"/>
    <w:pPr>
      <w:tabs>
        <w:tab w:val="center" w:pos="4536"/>
        <w:tab w:val="right" w:pos="9072"/>
      </w:tabs>
    </w:pPr>
  </w:style>
  <w:style w:type="character" w:customStyle="1" w:styleId="ZpatChar">
    <w:name w:val="Zápatí Char"/>
    <w:link w:val="Zpat"/>
    <w:uiPriority w:val="99"/>
    <w:rsid w:val="00AB0B9D"/>
    <w:rPr>
      <w:noProof/>
      <w:sz w:val="24"/>
      <w:szCs w:val="24"/>
    </w:rPr>
  </w:style>
  <w:style w:type="paragraph" w:customStyle="1" w:styleId="Textodstavce">
    <w:name w:val="Text odstavce"/>
    <w:basedOn w:val="Normln"/>
    <w:link w:val="TextodstavceChar"/>
    <w:rsid w:val="005B6BDD"/>
    <w:pPr>
      <w:tabs>
        <w:tab w:val="left" w:pos="851"/>
        <w:tab w:val="num" w:pos="894"/>
      </w:tabs>
      <w:spacing w:before="120" w:after="120"/>
      <w:ind w:left="894" w:hanging="180"/>
      <w:jc w:val="both"/>
      <w:outlineLvl w:val="6"/>
    </w:pPr>
    <w:rPr>
      <w:noProof w:val="0"/>
      <w:szCs w:val="20"/>
    </w:rPr>
  </w:style>
  <w:style w:type="character" w:customStyle="1" w:styleId="TextodstavceChar">
    <w:name w:val="Text odstavce Char"/>
    <w:link w:val="Textodstavce"/>
    <w:locked/>
    <w:rsid w:val="005B6BDD"/>
    <w:rPr>
      <w:sz w:val="24"/>
    </w:rPr>
  </w:style>
  <w:style w:type="character" w:styleId="Odkaznakoment">
    <w:name w:val="annotation reference"/>
    <w:basedOn w:val="Standardnpsmoodstavce"/>
    <w:uiPriority w:val="99"/>
    <w:rsid w:val="006C3641"/>
    <w:rPr>
      <w:sz w:val="16"/>
      <w:szCs w:val="16"/>
    </w:rPr>
  </w:style>
  <w:style w:type="paragraph" w:styleId="Textkomente">
    <w:name w:val="annotation text"/>
    <w:basedOn w:val="Normln"/>
    <w:link w:val="TextkomenteChar"/>
    <w:uiPriority w:val="99"/>
    <w:rsid w:val="006C3641"/>
    <w:rPr>
      <w:sz w:val="20"/>
      <w:szCs w:val="20"/>
    </w:rPr>
  </w:style>
  <w:style w:type="character" w:customStyle="1" w:styleId="TextkomenteChar">
    <w:name w:val="Text komentáře Char"/>
    <w:basedOn w:val="Standardnpsmoodstavce"/>
    <w:link w:val="Textkomente"/>
    <w:uiPriority w:val="99"/>
    <w:rsid w:val="006C3641"/>
    <w:rPr>
      <w:noProof/>
    </w:rPr>
  </w:style>
  <w:style w:type="paragraph" w:styleId="Pedmtkomente">
    <w:name w:val="annotation subject"/>
    <w:basedOn w:val="Textkomente"/>
    <w:next w:val="Textkomente"/>
    <w:link w:val="PedmtkomenteChar"/>
    <w:rsid w:val="006C3641"/>
    <w:rPr>
      <w:b/>
      <w:bCs/>
    </w:rPr>
  </w:style>
  <w:style w:type="character" w:customStyle="1" w:styleId="PedmtkomenteChar">
    <w:name w:val="Předmět komentáře Char"/>
    <w:basedOn w:val="TextkomenteChar"/>
    <w:link w:val="Pedmtkomente"/>
    <w:rsid w:val="006C3641"/>
    <w:rPr>
      <w:b/>
      <w:bCs/>
      <w:noProof/>
    </w:rPr>
  </w:style>
  <w:style w:type="paragraph" w:styleId="Textbubliny">
    <w:name w:val="Balloon Text"/>
    <w:basedOn w:val="Normln"/>
    <w:link w:val="TextbublinyChar"/>
    <w:rsid w:val="006C3641"/>
    <w:rPr>
      <w:rFonts w:ascii="Tahoma" w:hAnsi="Tahoma" w:cs="Tahoma"/>
      <w:sz w:val="16"/>
      <w:szCs w:val="16"/>
    </w:rPr>
  </w:style>
  <w:style w:type="character" w:customStyle="1" w:styleId="TextbublinyChar">
    <w:name w:val="Text bubliny Char"/>
    <w:basedOn w:val="Standardnpsmoodstavce"/>
    <w:link w:val="Textbubliny"/>
    <w:rsid w:val="006C3641"/>
    <w:rPr>
      <w:rFonts w:ascii="Tahoma" w:hAnsi="Tahoma" w:cs="Tahoma"/>
      <w:noProof/>
      <w:sz w:val="16"/>
      <w:szCs w:val="16"/>
    </w:rPr>
  </w:style>
  <w:style w:type="paragraph" w:customStyle="1" w:styleId="normal1">
    <w:name w:val="normal1"/>
    <w:basedOn w:val="Normln"/>
    <w:rsid w:val="001D02EB"/>
    <w:pPr>
      <w:spacing w:before="120" w:line="312" w:lineRule="atLeast"/>
      <w:jc w:val="both"/>
    </w:pPr>
    <w:rPr>
      <w:noProof w:val="0"/>
    </w:rPr>
  </w:style>
  <w:style w:type="character" w:customStyle="1" w:styleId="normaltextrun">
    <w:name w:val="normaltextrun"/>
    <w:basedOn w:val="Standardnpsmoodstavce"/>
    <w:rsid w:val="007B5730"/>
  </w:style>
  <w:style w:type="paragraph" w:customStyle="1" w:styleId="oj-ti-grseq-1">
    <w:name w:val="oj-ti-grseq-1"/>
    <w:basedOn w:val="Normln"/>
    <w:rsid w:val="007B5730"/>
    <w:pPr>
      <w:spacing w:before="100" w:beforeAutospacing="1" w:after="100" w:afterAutospacing="1"/>
    </w:pPr>
    <w:rPr>
      <w:noProof w:val="0"/>
    </w:rPr>
  </w:style>
  <w:style w:type="character" w:customStyle="1" w:styleId="oj-italic">
    <w:name w:val="oj-italic"/>
    <w:basedOn w:val="Standardnpsmoodstavce"/>
    <w:rsid w:val="007B5730"/>
  </w:style>
  <w:style w:type="character" w:customStyle="1" w:styleId="oj-bold">
    <w:name w:val="oj-bold"/>
    <w:basedOn w:val="Standardnpsmoodstavce"/>
    <w:rsid w:val="007B5730"/>
  </w:style>
  <w:style w:type="paragraph" w:customStyle="1" w:styleId="oj-normal">
    <w:name w:val="oj-normal"/>
    <w:basedOn w:val="Normln"/>
    <w:rsid w:val="007B5730"/>
    <w:pPr>
      <w:spacing w:before="100" w:beforeAutospacing="1" w:after="100" w:afterAutospacing="1"/>
    </w:pPr>
    <w:rPr>
      <w:noProof w:val="0"/>
    </w:rPr>
  </w:style>
  <w:style w:type="paragraph" w:styleId="Normlnweb">
    <w:name w:val="Normal (Web)"/>
    <w:basedOn w:val="Normln"/>
    <w:uiPriority w:val="99"/>
    <w:semiHidden/>
    <w:unhideWhenUsed/>
    <w:rsid w:val="0034631F"/>
    <w:pPr>
      <w:spacing w:before="100" w:beforeAutospacing="1" w:after="100" w:afterAutospacing="1"/>
    </w:pPr>
    <w:rPr>
      <w:noProof w:val="0"/>
    </w:rPr>
  </w:style>
  <w:style w:type="character" w:styleId="Hypertextovodkaz">
    <w:name w:val="Hyperlink"/>
    <w:basedOn w:val="Standardnpsmoodstavce"/>
    <w:uiPriority w:val="99"/>
    <w:semiHidden/>
    <w:unhideWhenUsed/>
    <w:rsid w:val="0034631F"/>
    <w:rPr>
      <w:color w:val="0000FF"/>
      <w:u w:val="single"/>
    </w:rPr>
  </w:style>
  <w:style w:type="paragraph" w:customStyle="1" w:styleId="inline-element">
    <w:name w:val="inline-element"/>
    <w:basedOn w:val="Normln"/>
    <w:rsid w:val="00F72525"/>
    <w:pPr>
      <w:spacing w:before="100" w:beforeAutospacing="1" w:after="100" w:afterAutospacing="1"/>
    </w:pPr>
    <w:rPr>
      <w:noProof w:val="0"/>
    </w:rPr>
  </w:style>
  <w:style w:type="paragraph" w:customStyle="1" w:styleId="norm">
    <w:name w:val="norm"/>
    <w:basedOn w:val="Normln"/>
    <w:rsid w:val="00F72525"/>
    <w:pPr>
      <w:spacing w:before="100" w:beforeAutospacing="1" w:after="100" w:afterAutospacing="1"/>
    </w:pPr>
    <w:rPr>
      <w:noProof w:val="0"/>
    </w:rPr>
  </w:style>
  <w:style w:type="paragraph" w:customStyle="1" w:styleId="Default">
    <w:name w:val="Default"/>
    <w:rsid w:val="00F27E1D"/>
    <w:pPr>
      <w:autoSpaceDE w:val="0"/>
      <w:autoSpaceDN w:val="0"/>
      <w:adjustRightInd w:val="0"/>
    </w:pPr>
    <w:rPr>
      <w:rFonts w:ascii="EUAlbertina" w:hAnsi="EUAlbertina" w:cs="EUAlbertina"/>
      <w:color w:val="000000"/>
      <w:sz w:val="24"/>
      <w:szCs w:val="24"/>
    </w:rPr>
  </w:style>
  <w:style w:type="character" w:customStyle="1" w:styleId="Nadpis7Char">
    <w:name w:val="Nadpis 7 Char"/>
    <w:basedOn w:val="Standardnpsmoodstavce"/>
    <w:link w:val="Nadpis7"/>
    <w:uiPriority w:val="9"/>
    <w:semiHidden/>
    <w:rsid w:val="00B3357D"/>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B3357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3357D"/>
    <w:rPr>
      <w:rFonts w:asciiTheme="majorHAnsi" w:eastAsiaTheme="majorEastAsia" w:hAnsiTheme="majorHAnsi" w:cstheme="majorBidi"/>
      <w:i/>
      <w:iCs/>
      <w:color w:val="272727" w:themeColor="text1" w:themeTint="D8"/>
      <w:sz w:val="21"/>
      <w:szCs w:val="21"/>
    </w:rPr>
  </w:style>
  <w:style w:type="paragraph" w:customStyle="1" w:styleId="Paragraf0">
    <w:name w:val="Paragraf"/>
    <w:basedOn w:val="Normln"/>
    <w:next w:val="Textodstavce"/>
    <w:rsid w:val="00B3357D"/>
    <w:pPr>
      <w:keepNext/>
      <w:keepLines/>
      <w:spacing w:before="240"/>
      <w:jc w:val="center"/>
      <w:outlineLvl w:val="5"/>
    </w:pPr>
    <w:rPr>
      <w:noProof w:val="0"/>
      <w:szCs w:val="20"/>
    </w:rPr>
  </w:style>
  <w:style w:type="paragraph" w:customStyle="1" w:styleId="lnek">
    <w:name w:val="Článek"/>
    <w:basedOn w:val="Normln"/>
    <w:next w:val="Textodstavce"/>
    <w:rsid w:val="00B3357D"/>
    <w:pPr>
      <w:keepNext/>
      <w:keepLines/>
      <w:spacing w:before="240"/>
      <w:jc w:val="center"/>
      <w:outlineLvl w:val="5"/>
    </w:pPr>
    <w:rPr>
      <w:noProof w:val="0"/>
      <w:szCs w:val="20"/>
    </w:rPr>
  </w:style>
  <w:style w:type="paragraph" w:customStyle="1" w:styleId="Textbodu">
    <w:name w:val="Text bodu"/>
    <w:basedOn w:val="Normln"/>
    <w:rsid w:val="00B3357D"/>
    <w:pPr>
      <w:tabs>
        <w:tab w:val="num" w:pos="851"/>
      </w:tabs>
      <w:ind w:left="851" w:hanging="426"/>
      <w:jc w:val="both"/>
      <w:outlineLvl w:val="8"/>
    </w:pPr>
    <w:rPr>
      <w:noProof w:val="0"/>
      <w:szCs w:val="20"/>
    </w:rPr>
  </w:style>
  <w:style w:type="paragraph" w:customStyle="1" w:styleId="Textpsmene">
    <w:name w:val="Text písmene"/>
    <w:basedOn w:val="Normln"/>
    <w:rsid w:val="00B3357D"/>
    <w:pPr>
      <w:tabs>
        <w:tab w:val="num" w:pos="425"/>
      </w:tabs>
      <w:ind w:left="425" w:hanging="425"/>
      <w:jc w:val="both"/>
      <w:outlineLvl w:val="7"/>
    </w:pPr>
    <w:rPr>
      <w:noProof w:val="0"/>
      <w:szCs w:val="20"/>
    </w:rPr>
  </w:style>
  <w:style w:type="paragraph" w:customStyle="1" w:styleId="Dvodovzprvakbodu">
    <w:name w:val="Důvodová zpráva (k bodu)"/>
    <w:basedOn w:val="Normln"/>
    <w:next w:val="Normln"/>
    <w:qFormat/>
    <w:rsid w:val="00B3357D"/>
    <w:pPr>
      <w:keepNext/>
      <w:numPr>
        <w:numId w:val="9"/>
      </w:numPr>
      <w:spacing w:before="120"/>
      <w:jc w:val="both"/>
      <w:outlineLvl w:val="0"/>
    </w:pPr>
    <w:rPr>
      <w:rFonts w:ascii="Arial" w:hAnsi="Arial"/>
      <w:b/>
      <w:noProof w:val="0"/>
      <w:color w:val="0000FF"/>
      <w:sz w:val="22"/>
      <w:szCs w:val="20"/>
    </w:rPr>
  </w:style>
  <w:style w:type="paragraph" w:customStyle="1" w:styleId="Nadpisparagrafu">
    <w:name w:val="Nadpis paragrafu"/>
    <w:basedOn w:val="Paragraf0"/>
    <w:next w:val="Textodstavce"/>
    <w:rsid w:val="00B3357D"/>
    <w:rPr>
      <w:b/>
    </w:rPr>
  </w:style>
  <w:style w:type="paragraph" w:styleId="Odstavecseseznamem">
    <w:name w:val="List Paragraph"/>
    <w:basedOn w:val="Normln"/>
    <w:uiPriority w:val="35"/>
    <w:qFormat/>
    <w:rsid w:val="00B3357D"/>
    <w:pPr>
      <w:ind w:left="720"/>
      <w:contextualSpacing/>
    </w:pPr>
  </w:style>
  <w:style w:type="paragraph" w:customStyle="1" w:styleId="Textparagrafu">
    <w:name w:val="Text paragrafu"/>
    <w:basedOn w:val="Normln"/>
    <w:rsid w:val="00F90C25"/>
    <w:pPr>
      <w:spacing w:before="240"/>
      <w:ind w:firstLine="425"/>
      <w:jc w:val="both"/>
      <w:outlineLvl w:val="5"/>
    </w:pPr>
    <w:rPr>
      <w:noProof w:val="0"/>
      <w:szCs w:val="20"/>
    </w:rPr>
  </w:style>
  <w:style w:type="character" w:customStyle="1" w:styleId="tabchar">
    <w:name w:val="tabchar"/>
    <w:basedOn w:val="Standardnpsmoodstavce"/>
    <w:rsid w:val="00D2599D"/>
  </w:style>
  <w:style w:type="character" w:customStyle="1" w:styleId="eop">
    <w:name w:val="eop"/>
    <w:basedOn w:val="Standardnpsmoodstavce"/>
    <w:rsid w:val="00D25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0257">
      <w:bodyDiv w:val="1"/>
      <w:marLeft w:val="0"/>
      <w:marRight w:val="0"/>
      <w:marTop w:val="0"/>
      <w:marBottom w:val="0"/>
      <w:divBdr>
        <w:top w:val="none" w:sz="0" w:space="0" w:color="auto"/>
        <w:left w:val="none" w:sz="0" w:space="0" w:color="auto"/>
        <w:bottom w:val="none" w:sz="0" w:space="0" w:color="auto"/>
        <w:right w:val="none" w:sz="0" w:space="0" w:color="auto"/>
      </w:divBdr>
      <w:divsChild>
        <w:div w:id="234434671">
          <w:marLeft w:val="0"/>
          <w:marRight w:val="0"/>
          <w:marTop w:val="0"/>
          <w:marBottom w:val="0"/>
          <w:divBdr>
            <w:top w:val="none" w:sz="0" w:space="0" w:color="auto"/>
            <w:left w:val="none" w:sz="0" w:space="0" w:color="auto"/>
            <w:bottom w:val="none" w:sz="0" w:space="0" w:color="auto"/>
            <w:right w:val="none" w:sz="0" w:space="0" w:color="auto"/>
          </w:divBdr>
        </w:div>
        <w:div w:id="1829634304">
          <w:marLeft w:val="0"/>
          <w:marRight w:val="0"/>
          <w:marTop w:val="0"/>
          <w:marBottom w:val="0"/>
          <w:divBdr>
            <w:top w:val="none" w:sz="0" w:space="0" w:color="auto"/>
            <w:left w:val="none" w:sz="0" w:space="0" w:color="auto"/>
            <w:bottom w:val="none" w:sz="0" w:space="0" w:color="auto"/>
            <w:right w:val="none" w:sz="0" w:space="0" w:color="auto"/>
          </w:divBdr>
        </w:div>
      </w:divsChild>
    </w:div>
    <w:div w:id="121121979">
      <w:bodyDiv w:val="1"/>
      <w:marLeft w:val="0"/>
      <w:marRight w:val="0"/>
      <w:marTop w:val="0"/>
      <w:marBottom w:val="0"/>
      <w:divBdr>
        <w:top w:val="none" w:sz="0" w:space="0" w:color="auto"/>
        <w:left w:val="none" w:sz="0" w:space="0" w:color="auto"/>
        <w:bottom w:val="none" w:sz="0" w:space="0" w:color="auto"/>
        <w:right w:val="none" w:sz="0" w:space="0" w:color="auto"/>
      </w:divBdr>
    </w:div>
    <w:div w:id="207690697">
      <w:bodyDiv w:val="1"/>
      <w:marLeft w:val="0"/>
      <w:marRight w:val="0"/>
      <w:marTop w:val="0"/>
      <w:marBottom w:val="0"/>
      <w:divBdr>
        <w:top w:val="none" w:sz="0" w:space="0" w:color="auto"/>
        <w:left w:val="none" w:sz="0" w:space="0" w:color="auto"/>
        <w:bottom w:val="none" w:sz="0" w:space="0" w:color="auto"/>
        <w:right w:val="none" w:sz="0" w:space="0" w:color="auto"/>
      </w:divBdr>
      <w:divsChild>
        <w:div w:id="1449928206">
          <w:marLeft w:val="0"/>
          <w:marRight w:val="0"/>
          <w:marTop w:val="0"/>
          <w:marBottom w:val="0"/>
          <w:divBdr>
            <w:top w:val="none" w:sz="0" w:space="0" w:color="auto"/>
            <w:left w:val="none" w:sz="0" w:space="0" w:color="auto"/>
            <w:bottom w:val="none" w:sz="0" w:space="0" w:color="auto"/>
            <w:right w:val="none" w:sz="0" w:space="0" w:color="auto"/>
          </w:divBdr>
          <w:divsChild>
            <w:div w:id="1281834654">
              <w:marLeft w:val="0"/>
              <w:marRight w:val="0"/>
              <w:marTop w:val="0"/>
              <w:marBottom w:val="0"/>
              <w:divBdr>
                <w:top w:val="none" w:sz="0" w:space="0" w:color="auto"/>
                <w:left w:val="none" w:sz="0" w:space="0" w:color="auto"/>
                <w:bottom w:val="none" w:sz="0" w:space="0" w:color="auto"/>
                <w:right w:val="none" w:sz="0" w:space="0" w:color="auto"/>
              </w:divBdr>
              <w:divsChild>
                <w:div w:id="251205302">
                  <w:marLeft w:val="0"/>
                  <w:marRight w:val="0"/>
                  <w:marTop w:val="0"/>
                  <w:marBottom w:val="0"/>
                  <w:divBdr>
                    <w:top w:val="none" w:sz="0" w:space="0" w:color="auto"/>
                    <w:left w:val="none" w:sz="0" w:space="0" w:color="auto"/>
                    <w:bottom w:val="none" w:sz="0" w:space="0" w:color="auto"/>
                    <w:right w:val="none" w:sz="0" w:space="0" w:color="auto"/>
                  </w:divBdr>
                  <w:divsChild>
                    <w:div w:id="1803691621">
                      <w:marLeft w:val="-150"/>
                      <w:marRight w:val="-150"/>
                      <w:marTop w:val="0"/>
                      <w:marBottom w:val="0"/>
                      <w:divBdr>
                        <w:top w:val="none" w:sz="0" w:space="0" w:color="auto"/>
                        <w:left w:val="none" w:sz="0" w:space="0" w:color="auto"/>
                        <w:bottom w:val="none" w:sz="0" w:space="0" w:color="auto"/>
                        <w:right w:val="none" w:sz="0" w:space="0" w:color="auto"/>
                      </w:divBdr>
                      <w:divsChild>
                        <w:div w:id="441339835">
                          <w:marLeft w:val="0"/>
                          <w:marRight w:val="0"/>
                          <w:marTop w:val="0"/>
                          <w:marBottom w:val="0"/>
                          <w:divBdr>
                            <w:top w:val="none" w:sz="0" w:space="0" w:color="auto"/>
                            <w:left w:val="none" w:sz="0" w:space="0" w:color="auto"/>
                            <w:bottom w:val="none" w:sz="0" w:space="0" w:color="auto"/>
                            <w:right w:val="none" w:sz="0" w:space="0" w:color="auto"/>
                          </w:divBdr>
                          <w:divsChild>
                            <w:div w:id="1397898348">
                              <w:marLeft w:val="0"/>
                              <w:marRight w:val="0"/>
                              <w:marTop w:val="0"/>
                              <w:marBottom w:val="0"/>
                              <w:divBdr>
                                <w:top w:val="none" w:sz="0" w:space="0" w:color="auto"/>
                                <w:left w:val="none" w:sz="0" w:space="0" w:color="auto"/>
                                <w:bottom w:val="none" w:sz="0" w:space="0" w:color="auto"/>
                                <w:right w:val="none" w:sz="0" w:space="0" w:color="auto"/>
                              </w:divBdr>
                              <w:divsChild>
                                <w:div w:id="528370555">
                                  <w:marLeft w:val="0"/>
                                  <w:marRight w:val="0"/>
                                  <w:marTop w:val="0"/>
                                  <w:marBottom w:val="300"/>
                                  <w:divBdr>
                                    <w:top w:val="none" w:sz="0" w:space="0" w:color="auto"/>
                                    <w:left w:val="none" w:sz="0" w:space="0" w:color="auto"/>
                                    <w:bottom w:val="none" w:sz="0" w:space="0" w:color="auto"/>
                                    <w:right w:val="none" w:sz="0" w:space="0" w:color="auto"/>
                                  </w:divBdr>
                                  <w:divsChild>
                                    <w:div w:id="574096815">
                                      <w:marLeft w:val="0"/>
                                      <w:marRight w:val="0"/>
                                      <w:marTop w:val="0"/>
                                      <w:marBottom w:val="0"/>
                                      <w:divBdr>
                                        <w:top w:val="none" w:sz="0" w:space="0" w:color="auto"/>
                                        <w:left w:val="none" w:sz="0" w:space="0" w:color="auto"/>
                                        <w:bottom w:val="none" w:sz="0" w:space="0" w:color="auto"/>
                                        <w:right w:val="none" w:sz="0" w:space="0" w:color="auto"/>
                                      </w:divBdr>
                                      <w:divsChild>
                                        <w:div w:id="1696341408">
                                          <w:marLeft w:val="0"/>
                                          <w:marRight w:val="0"/>
                                          <w:marTop w:val="0"/>
                                          <w:marBottom w:val="0"/>
                                          <w:divBdr>
                                            <w:top w:val="none" w:sz="0" w:space="0" w:color="auto"/>
                                            <w:left w:val="none" w:sz="0" w:space="0" w:color="auto"/>
                                            <w:bottom w:val="none" w:sz="0" w:space="0" w:color="auto"/>
                                            <w:right w:val="none" w:sz="0" w:space="0" w:color="auto"/>
                                          </w:divBdr>
                                          <w:divsChild>
                                            <w:div w:id="1505706842">
                                              <w:marLeft w:val="0"/>
                                              <w:marRight w:val="0"/>
                                              <w:marTop w:val="0"/>
                                              <w:marBottom w:val="0"/>
                                              <w:divBdr>
                                                <w:top w:val="none" w:sz="0" w:space="0" w:color="auto"/>
                                                <w:left w:val="none" w:sz="0" w:space="0" w:color="auto"/>
                                                <w:bottom w:val="none" w:sz="0" w:space="0" w:color="auto"/>
                                                <w:right w:val="none" w:sz="0" w:space="0" w:color="auto"/>
                                              </w:divBdr>
                                              <w:divsChild>
                                                <w:div w:id="478889668">
                                                  <w:marLeft w:val="0"/>
                                                  <w:marRight w:val="0"/>
                                                  <w:marTop w:val="0"/>
                                                  <w:marBottom w:val="0"/>
                                                  <w:divBdr>
                                                    <w:top w:val="none" w:sz="0" w:space="0" w:color="auto"/>
                                                    <w:left w:val="none" w:sz="0" w:space="0" w:color="auto"/>
                                                    <w:bottom w:val="none" w:sz="0" w:space="0" w:color="auto"/>
                                                    <w:right w:val="none" w:sz="0" w:space="0" w:color="auto"/>
                                                  </w:divBdr>
                                                  <w:divsChild>
                                                    <w:div w:id="965428807">
                                                      <w:marLeft w:val="0"/>
                                                      <w:marRight w:val="0"/>
                                                      <w:marTop w:val="0"/>
                                                      <w:marBottom w:val="0"/>
                                                      <w:divBdr>
                                                        <w:top w:val="none" w:sz="0" w:space="0" w:color="auto"/>
                                                        <w:left w:val="none" w:sz="0" w:space="0" w:color="auto"/>
                                                        <w:bottom w:val="none" w:sz="0" w:space="0" w:color="auto"/>
                                                        <w:right w:val="none" w:sz="0" w:space="0" w:color="auto"/>
                                                      </w:divBdr>
                                                      <w:divsChild>
                                                        <w:div w:id="1108163856">
                                                          <w:marLeft w:val="0"/>
                                                          <w:marRight w:val="0"/>
                                                          <w:marTop w:val="0"/>
                                                          <w:marBottom w:val="0"/>
                                                          <w:divBdr>
                                                            <w:top w:val="none" w:sz="0" w:space="0" w:color="auto"/>
                                                            <w:left w:val="none" w:sz="0" w:space="0" w:color="auto"/>
                                                            <w:bottom w:val="none" w:sz="0" w:space="0" w:color="auto"/>
                                                            <w:right w:val="none" w:sz="0" w:space="0" w:color="auto"/>
                                                          </w:divBdr>
                                                          <w:divsChild>
                                                            <w:div w:id="1323314941">
                                                              <w:marLeft w:val="0"/>
                                                              <w:marRight w:val="0"/>
                                                              <w:marTop w:val="0"/>
                                                              <w:marBottom w:val="0"/>
                                                              <w:divBdr>
                                                                <w:top w:val="none" w:sz="0" w:space="0" w:color="auto"/>
                                                                <w:left w:val="none" w:sz="0" w:space="0" w:color="auto"/>
                                                                <w:bottom w:val="none" w:sz="0" w:space="0" w:color="auto"/>
                                                                <w:right w:val="none" w:sz="0" w:space="0" w:color="auto"/>
                                                              </w:divBdr>
                                                              <w:divsChild>
                                                                <w:div w:id="1464348143">
                                                                  <w:marLeft w:val="0"/>
                                                                  <w:marRight w:val="0"/>
                                                                  <w:marTop w:val="0"/>
                                                                  <w:marBottom w:val="0"/>
                                                                  <w:divBdr>
                                                                    <w:top w:val="none" w:sz="0" w:space="0" w:color="auto"/>
                                                                    <w:left w:val="none" w:sz="0" w:space="0" w:color="auto"/>
                                                                    <w:bottom w:val="none" w:sz="0" w:space="0" w:color="auto"/>
                                                                    <w:right w:val="none" w:sz="0" w:space="0" w:color="auto"/>
                                                                  </w:divBdr>
                                                                  <w:divsChild>
                                                                    <w:div w:id="1130787730">
                                                                      <w:marLeft w:val="0"/>
                                                                      <w:marRight w:val="0"/>
                                                                      <w:marTop w:val="0"/>
                                                                      <w:marBottom w:val="0"/>
                                                                      <w:divBdr>
                                                                        <w:top w:val="none" w:sz="0" w:space="0" w:color="auto"/>
                                                                        <w:left w:val="none" w:sz="0" w:space="0" w:color="auto"/>
                                                                        <w:bottom w:val="none" w:sz="0" w:space="0" w:color="auto"/>
                                                                        <w:right w:val="none" w:sz="0" w:space="0" w:color="auto"/>
                                                                      </w:divBdr>
                                                                      <w:divsChild>
                                                                        <w:div w:id="10931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576421">
      <w:bodyDiv w:val="1"/>
      <w:marLeft w:val="0"/>
      <w:marRight w:val="0"/>
      <w:marTop w:val="0"/>
      <w:marBottom w:val="0"/>
      <w:divBdr>
        <w:top w:val="none" w:sz="0" w:space="0" w:color="auto"/>
        <w:left w:val="none" w:sz="0" w:space="0" w:color="auto"/>
        <w:bottom w:val="none" w:sz="0" w:space="0" w:color="auto"/>
        <w:right w:val="none" w:sz="0" w:space="0" w:color="auto"/>
      </w:divBdr>
      <w:divsChild>
        <w:div w:id="1474062914">
          <w:marLeft w:val="0"/>
          <w:marRight w:val="0"/>
          <w:marTop w:val="0"/>
          <w:marBottom w:val="0"/>
          <w:divBdr>
            <w:top w:val="none" w:sz="0" w:space="0" w:color="auto"/>
            <w:left w:val="none" w:sz="0" w:space="0" w:color="auto"/>
            <w:bottom w:val="none" w:sz="0" w:space="0" w:color="auto"/>
            <w:right w:val="none" w:sz="0" w:space="0" w:color="auto"/>
          </w:divBdr>
        </w:div>
      </w:divsChild>
    </w:div>
    <w:div w:id="230817911">
      <w:bodyDiv w:val="1"/>
      <w:marLeft w:val="0"/>
      <w:marRight w:val="0"/>
      <w:marTop w:val="0"/>
      <w:marBottom w:val="0"/>
      <w:divBdr>
        <w:top w:val="none" w:sz="0" w:space="0" w:color="auto"/>
        <w:left w:val="none" w:sz="0" w:space="0" w:color="auto"/>
        <w:bottom w:val="none" w:sz="0" w:space="0" w:color="auto"/>
        <w:right w:val="none" w:sz="0" w:space="0" w:color="auto"/>
      </w:divBdr>
    </w:div>
    <w:div w:id="1278101156">
      <w:bodyDiv w:val="1"/>
      <w:marLeft w:val="0"/>
      <w:marRight w:val="0"/>
      <w:marTop w:val="0"/>
      <w:marBottom w:val="0"/>
      <w:divBdr>
        <w:top w:val="none" w:sz="0" w:space="0" w:color="auto"/>
        <w:left w:val="none" w:sz="0" w:space="0" w:color="auto"/>
        <w:bottom w:val="none" w:sz="0" w:space="0" w:color="auto"/>
        <w:right w:val="none" w:sz="0" w:space="0" w:color="auto"/>
      </w:divBdr>
      <w:divsChild>
        <w:div w:id="365839180">
          <w:marLeft w:val="0"/>
          <w:marRight w:val="0"/>
          <w:marTop w:val="0"/>
          <w:marBottom w:val="0"/>
          <w:divBdr>
            <w:top w:val="none" w:sz="0" w:space="0" w:color="auto"/>
            <w:left w:val="none" w:sz="0" w:space="0" w:color="auto"/>
            <w:bottom w:val="none" w:sz="0" w:space="0" w:color="auto"/>
            <w:right w:val="none" w:sz="0" w:space="0" w:color="auto"/>
          </w:divBdr>
          <w:divsChild>
            <w:div w:id="150760433">
              <w:marLeft w:val="0"/>
              <w:marRight w:val="0"/>
              <w:marTop w:val="0"/>
              <w:marBottom w:val="0"/>
              <w:divBdr>
                <w:top w:val="none" w:sz="0" w:space="0" w:color="auto"/>
                <w:left w:val="none" w:sz="0" w:space="0" w:color="auto"/>
                <w:bottom w:val="none" w:sz="0" w:space="0" w:color="auto"/>
                <w:right w:val="none" w:sz="0" w:space="0" w:color="auto"/>
              </w:divBdr>
              <w:divsChild>
                <w:div w:id="1946229522">
                  <w:marLeft w:val="0"/>
                  <w:marRight w:val="0"/>
                  <w:marTop w:val="0"/>
                  <w:marBottom w:val="0"/>
                  <w:divBdr>
                    <w:top w:val="none" w:sz="0" w:space="0" w:color="auto"/>
                    <w:left w:val="none" w:sz="0" w:space="0" w:color="auto"/>
                    <w:bottom w:val="none" w:sz="0" w:space="0" w:color="auto"/>
                    <w:right w:val="none" w:sz="0" w:space="0" w:color="auto"/>
                  </w:divBdr>
                  <w:divsChild>
                    <w:div w:id="556739897">
                      <w:marLeft w:val="-150"/>
                      <w:marRight w:val="-150"/>
                      <w:marTop w:val="0"/>
                      <w:marBottom w:val="0"/>
                      <w:divBdr>
                        <w:top w:val="none" w:sz="0" w:space="0" w:color="auto"/>
                        <w:left w:val="none" w:sz="0" w:space="0" w:color="auto"/>
                        <w:bottom w:val="none" w:sz="0" w:space="0" w:color="auto"/>
                        <w:right w:val="none" w:sz="0" w:space="0" w:color="auto"/>
                      </w:divBdr>
                      <w:divsChild>
                        <w:div w:id="1482849006">
                          <w:marLeft w:val="0"/>
                          <w:marRight w:val="0"/>
                          <w:marTop w:val="0"/>
                          <w:marBottom w:val="0"/>
                          <w:divBdr>
                            <w:top w:val="none" w:sz="0" w:space="0" w:color="auto"/>
                            <w:left w:val="none" w:sz="0" w:space="0" w:color="auto"/>
                            <w:bottom w:val="none" w:sz="0" w:space="0" w:color="auto"/>
                            <w:right w:val="none" w:sz="0" w:space="0" w:color="auto"/>
                          </w:divBdr>
                          <w:divsChild>
                            <w:div w:id="1630358732">
                              <w:marLeft w:val="0"/>
                              <w:marRight w:val="0"/>
                              <w:marTop w:val="0"/>
                              <w:marBottom w:val="0"/>
                              <w:divBdr>
                                <w:top w:val="none" w:sz="0" w:space="0" w:color="auto"/>
                                <w:left w:val="none" w:sz="0" w:space="0" w:color="auto"/>
                                <w:bottom w:val="none" w:sz="0" w:space="0" w:color="auto"/>
                                <w:right w:val="none" w:sz="0" w:space="0" w:color="auto"/>
                              </w:divBdr>
                              <w:divsChild>
                                <w:div w:id="445002017">
                                  <w:marLeft w:val="0"/>
                                  <w:marRight w:val="0"/>
                                  <w:marTop w:val="0"/>
                                  <w:marBottom w:val="300"/>
                                  <w:divBdr>
                                    <w:top w:val="none" w:sz="0" w:space="0" w:color="auto"/>
                                    <w:left w:val="none" w:sz="0" w:space="0" w:color="auto"/>
                                    <w:bottom w:val="none" w:sz="0" w:space="0" w:color="auto"/>
                                    <w:right w:val="none" w:sz="0" w:space="0" w:color="auto"/>
                                  </w:divBdr>
                                  <w:divsChild>
                                    <w:div w:id="608270515">
                                      <w:marLeft w:val="0"/>
                                      <w:marRight w:val="0"/>
                                      <w:marTop w:val="0"/>
                                      <w:marBottom w:val="0"/>
                                      <w:divBdr>
                                        <w:top w:val="none" w:sz="0" w:space="0" w:color="auto"/>
                                        <w:left w:val="none" w:sz="0" w:space="0" w:color="auto"/>
                                        <w:bottom w:val="none" w:sz="0" w:space="0" w:color="auto"/>
                                        <w:right w:val="none" w:sz="0" w:space="0" w:color="auto"/>
                                      </w:divBdr>
                                      <w:divsChild>
                                        <w:div w:id="1772360426">
                                          <w:marLeft w:val="0"/>
                                          <w:marRight w:val="0"/>
                                          <w:marTop w:val="0"/>
                                          <w:marBottom w:val="0"/>
                                          <w:divBdr>
                                            <w:top w:val="none" w:sz="0" w:space="0" w:color="auto"/>
                                            <w:left w:val="none" w:sz="0" w:space="0" w:color="auto"/>
                                            <w:bottom w:val="none" w:sz="0" w:space="0" w:color="auto"/>
                                            <w:right w:val="none" w:sz="0" w:space="0" w:color="auto"/>
                                          </w:divBdr>
                                          <w:divsChild>
                                            <w:div w:id="316152963">
                                              <w:marLeft w:val="0"/>
                                              <w:marRight w:val="0"/>
                                              <w:marTop w:val="0"/>
                                              <w:marBottom w:val="0"/>
                                              <w:divBdr>
                                                <w:top w:val="none" w:sz="0" w:space="0" w:color="auto"/>
                                                <w:left w:val="none" w:sz="0" w:space="0" w:color="auto"/>
                                                <w:bottom w:val="none" w:sz="0" w:space="0" w:color="auto"/>
                                                <w:right w:val="none" w:sz="0" w:space="0" w:color="auto"/>
                                              </w:divBdr>
                                              <w:divsChild>
                                                <w:div w:id="2122214942">
                                                  <w:marLeft w:val="0"/>
                                                  <w:marRight w:val="0"/>
                                                  <w:marTop w:val="0"/>
                                                  <w:marBottom w:val="0"/>
                                                  <w:divBdr>
                                                    <w:top w:val="none" w:sz="0" w:space="0" w:color="auto"/>
                                                    <w:left w:val="none" w:sz="0" w:space="0" w:color="auto"/>
                                                    <w:bottom w:val="none" w:sz="0" w:space="0" w:color="auto"/>
                                                    <w:right w:val="none" w:sz="0" w:space="0" w:color="auto"/>
                                                  </w:divBdr>
                                                  <w:divsChild>
                                                    <w:div w:id="404838136">
                                                      <w:marLeft w:val="0"/>
                                                      <w:marRight w:val="0"/>
                                                      <w:marTop w:val="0"/>
                                                      <w:marBottom w:val="0"/>
                                                      <w:divBdr>
                                                        <w:top w:val="none" w:sz="0" w:space="0" w:color="auto"/>
                                                        <w:left w:val="none" w:sz="0" w:space="0" w:color="auto"/>
                                                        <w:bottom w:val="none" w:sz="0" w:space="0" w:color="auto"/>
                                                        <w:right w:val="none" w:sz="0" w:space="0" w:color="auto"/>
                                                      </w:divBdr>
                                                      <w:divsChild>
                                                        <w:div w:id="613439151">
                                                          <w:marLeft w:val="0"/>
                                                          <w:marRight w:val="0"/>
                                                          <w:marTop w:val="0"/>
                                                          <w:marBottom w:val="0"/>
                                                          <w:divBdr>
                                                            <w:top w:val="none" w:sz="0" w:space="0" w:color="auto"/>
                                                            <w:left w:val="none" w:sz="0" w:space="0" w:color="auto"/>
                                                            <w:bottom w:val="none" w:sz="0" w:space="0" w:color="auto"/>
                                                            <w:right w:val="none" w:sz="0" w:space="0" w:color="auto"/>
                                                          </w:divBdr>
                                                          <w:divsChild>
                                                            <w:div w:id="736560449">
                                                              <w:marLeft w:val="0"/>
                                                              <w:marRight w:val="0"/>
                                                              <w:marTop w:val="0"/>
                                                              <w:marBottom w:val="0"/>
                                                              <w:divBdr>
                                                                <w:top w:val="none" w:sz="0" w:space="0" w:color="auto"/>
                                                                <w:left w:val="none" w:sz="0" w:space="0" w:color="auto"/>
                                                                <w:bottom w:val="none" w:sz="0" w:space="0" w:color="auto"/>
                                                                <w:right w:val="none" w:sz="0" w:space="0" w:color="auto"/>
                                                              </w:divBdr>
                                                              <w:divsChild>
                                                                <w:div w:id="2015955853">
                                                                  <w:marLeft w:val="0"/>
                                                                  <w:marRight w:val="0"/>
                                                                  <w:marTop w:val="0"/>
                                                                  <w:marBottom w:val="0"/>
                                                                  <w:divBdr>
                                                                    <w:top w:val="none" w:sz="0" w:space="0" w:color="auto"/>
                                                                    <w:left w:val="none" w:sz="0" w:space="0" w:color="auto"/>
                                                                    <w:bottom w:val="none" w:sz="0" w:space="0" w:color="auto"/>
                                                                    <w:right w:val="none" w:sz="0" w:space="0" w:color="auto"/>
                                                                  </w:divBdr>
                                                                  <w:divsChild>
                                                                    <w:div w:id="2096394011">
                                                                      <w:marLeft w:val="0"/>
                                                                      <w:marRight w:val="0"/>
                                                                      <w:marTop w:val="0"/>
                                                                      <w:marBottom w:val="0"/>
                                                                      <w:divBdr>
                                                                        <w:top w:val="none" w:sz="0" w:space="0" w:color="auto"/>
                                                                        <w:left w:val="none" w:sz="0" w:space="0" w:color="auto"/>
                                                                        <w:bottom w:val="none" w:sz="0" w:space="0" w:color="auto"/>
                                                                        <w:right w:val="none" w:sz="0" w:space="0" w:color="auto"/>
                                                                      </w:divBdr>
                                                                      <w:divsChild>
                                                                        <w:div w:id="59487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739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12116\Desktop\celn&#237;%20z&#225;kon%20&#269;erven%202015\rozd&#237;lov&#225;%20tabulk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3E2BC182952C44BBAFAEC6093676C6" ma:contentTypeVersion="4" ma:contentTypeDescription="Vytvoří nový dokument" ma:contentTypeScope="" ma:versionID="5f42ed50462d4e062aaf576fbb3fa982">
  <xsd:schema xmlns:xsd="http://www.w3.org/2001/XMLSchema" xmlns:xs="http://www.w3.org/2001/XMLSchema" xmlns:p="http://schemas.microsoft.com/office/2006/metadata/properties" xmlns:ns2="bb50961a-01f8-4a31-97df-cc737852abde" targetNamespace="http://schemas.microsoft.com/office/2006/metadata/properties" ma:root="true" ma:fieldsID="074c8da6bf7ee8fd67ee159406de32e3" ns2:_="">
    <xsd:import namespace="bb50961a-01f8-4a31-97df-cc737852ab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0961a-01f8-4a31-97df-cc737852a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28A3D-077B-4872-BE44-42B908CA9418}">
  <ds:schemaRefs>
    <ds:schemaRef ds:uri="http://schemas.microsoft.com/sharepoint/v3/contenttype/forms"/>
  </ds:schemaRefs>
</ds:datastoreItem>
</file>

<file path=customXml/itemProps2.xml><?xml version="1.0" encoding="utf-8"?>
<ds:datastoreItem xmlns:ds="http://schemas.openxmlformats.org/officeDocument/2006/customXml" ds:itemID="{18CF970E-0851-4BE7-9334-85CA172ECF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8F7505-477C-4DC6-AE89-B8BEE4A6D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0961a-01f8-4a31-97df-cc737852ab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6C4FD5-8BD6-414E-A889-4E37EA8FE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rozdílová tabulka</Template>
  <TotalTime>4</TotalTime>
  <Pages>37</Pages>
  <Words>9871</Words>
  <Characters>54122</Characters>
  <Application>Microsoft Office Word</Application>
  <DocSecurity>0</DocSecurity>
  <Lines>451</Lines>
  <Paragraphs>127</Paragraphs>
  <ScaleCrop>false</ScaleCrop>
  <HeadingPairs>
    <vt:vector size="2" baseType="variant">
      <vt:variant>
        <vt:lpstr>Název</vt:lpstr>
      </vt:variant>
      <vt:variant>
        <vt:i4>1</vt:i4>
      </vt:variant>
    </vt:vector>
  </HeadingPairs>
  <TitlesOfParts>
    <vt:vector size="1" baseType="lpstr">
      <vt:lpstr>self primVisitHeading: aNode style: 'část'</vt:lpstr>
    </vt:vector>
  </TitlesOfParts>
  <Company>e-Fractal s.r.o.</Company>
  <LinksUpToDate>false</LinksUpToDate>
  <CharactersWithSpaces>63866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primVisitHeading: aNode style: 'část'</dc:title>
  <dc:creator>Berka František, Mgr.</dc:creator>
  <cp:lastModifiedBy>MPO</cp:lastModifiedBy>
  <cp:revision>3</cp:revision>
  <cp:lastPrinted>2025-01-22T10:22:00Z</cp:lastPrinted>
  <dcterms:created xsi:type="dcterms:W3CDTF">2025-02-19T17:51:00Z</dcterms:created>
  <dcterms:modified xsi:type="dcterms:W3CDTF">2025-02-19T21:53:00Z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0x010100353E2BC182952C44BBAFAEC6093676C6</vt:lpwstr>
  </property>
</Properties>
</file>