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F27E7" w14:textId="6629A037" w:rsidR="00713948" w:rsidRPr="00A17C67" w:rsidRDefault="00A252D9" w:rsidP="00A252D9">
      <w:pPr>
        <w:jc w:val="both"/>
        <w:rPr>
          <w:rFonts w:ascii="Times New Roman" w:hAnsi="Times New Roman" w:cs="Times New Roman"/>
          <w:b/>
          <w:bCs/>
        </w:rPr>
      </w:pPr>
      <w:r w:rsidRPr="00A17C67">
        <w:rPr>
          <w:rFonts w:ascii="Times New Roman" w:hAnsi="Times New Roman" w:cs="Times New Roman"/>
          <w:b/>
          <w:bCs/>
        </w:rPr>
        <w:t>Platné znění vybraných ustanovení zákonů části druhé, třetí a čtvrté zákona o stanovení rámce opatření pro posílení evropského ekosystému výroby technologií pro nulové čisté emise, a o změně souvisejících zákonů</w:t>
      </w:r>
    </w:p>
    <w:p w14:paraId="65F43BDD" w14:textId="65A97DFA" w:rsidR="00A252D9" w:rsidRPr="00A17C67" w:rsidRDefault="00A252D9" w:rsidP="00A252D9">
      <w:pPr>
        <w:jc w:val="both"/>
        <w:rPr>
          <w:rFonts w:ascii="Times New Roman" w:hAnsi="Times New Roman" w:cs="Times New Roman"/>
          <w:b/>
          <w:bCs/>
        </w:rPr>
      </w:pPr>
    </w:p>
    <w:p w14:paraId="3252C0DB" w14:textId="40BA38BB" w:rsidR="00A252D9" w:rsidRPr="00A17C67" w:rsidRDefault="00A252D9" w:rsidP="00A252D9">
      <w:pPr>
        <w:jc w:val="both"/>
        <w:rPr>
          <w:rFonts w:ascii="Times New Roman" w:hAnsi="Times New Roman" w:cs="Times New Roman"/>
          <w:b/>
          <w:bCs/>
        </w:rPr>
      </w:pPr>
      <w:r w:rsidRPr="00A17C67">
        <w:rPr>
          <w:rFonts w:ascii="Times New Roman" w:hAnsi="Times New Roman" w:cs="Times New Roman"/>
          <w:b/>
          <w:bCs/>
        </w:rPr>
        <w:t>Zákon č. 100/2001 Sb., o posuzování vlivů na životní prostředí a o změně některých souvisejících zákonů (zákon o posuzování vlivů na životní prostředí), ve znění pozdějších předpisů</w:t>
      </w:r>
    </w:p>
    <w:p w14:paraId="2903AB9E" w14:textId="4BB608A9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>§ 1</w:t>
      </w:r>
    </w:p>
    <w:p w14:paraId="0CDBA3C5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1266819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17C67">
        <w:rPr>
          <w:rFonts w:ascii="Times New Roman" w:hAnsi="Times New Roman" w:cs="Times New Roman"/>
          <w:b/>
          <w:bCs/>
        </w:rPr>
        <w:t xml:space="preserve">Předmět úpravy </w:t>
      </w:r>
    </w:p>
    <w:p w14:paraId="19747561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3C7CC1A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ab/>
        <w:t>(1) Zákon v souladu s právem Evropské unie</w:t>
      </w:r>
      <w:r w:rsidRPr="00A17C67">
        <w:rPr>
          <w:rFonts w:ascii="Times New Roman" w:hAnsi="Times New Roman" w:cs="Times New Roman"/>
          <w:vertAlign w:val="superscript"/>
        </w:rPr>
        <w:t>1)</w:t>
      </w:r>
      <w:r w:rsidRPr="00A17C67">
        <w:rPr>
          <w:rFonts w:ascii="Times New Roman" w:hAnsi="Times New Roman" w:cs="Times New Roman"/>
        </w:rPr>
        <w:t xml:space="preserve"> upravuje posuzování vlivů na životní prostředí a veřejné zdraví (dále jen "posuzování vlivů na životní prostředí") a postup fyzických osob, právnických osob, správních orgánů a územních samosprávných celků (obcí a krajů) při tomto posuzování. </w:t>
      </w:r>
    </w:p>
    <w:p w14:paraId="42EDCE52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38110791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ab/>
        <w:t xml:space="preserve">(2) Posuzování vlivů na životní prostředí podléhají v tomto zákoně vymezené záměry a koncepce, jejichž provedení by mohlo závažně ovlivnit životní prostředí. </w:t>
      </w:r>
    </w:p>
    <w:p w14:paraId="005C0F1C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66BC58F2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ab/>
        <w:t xml:space="preserve">(3) Účelem posuzování vlivů na životní prostředí je získat objektivní odborný podklad pro vydání rozhodnutí, popřípadě opatření podle zvláštních právních předpisů, a přispět tak k udržitelnému rozvoji společnosti.1b) </w:t>
      </w:r>
    </w:p>
    <w:p w14:paraId="62AD2975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6547CED2" w14:textId="09280286" w:rsidR="00A252D9" w:rsidRPr="00A17C67" w:rsidRDefault="00A252D9" w:rsidP="00A17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ab/>
        <w:t>(4) Záměry podléhající posouzení podle tohoto zákona jsou zároveň předmětem jednotného environmentálního stanoviska</w:t>
      </w:r>
      <w:r w:rsidRPr="00A17C67">
        <w:rPr>
          <w:rFonts w:ascii="Times New Roman" w:hAnsi="Times New Roman" w:cs="Times New Roman"/>
          <w:vertAlign w:val="superscript"/>
        </w:rPr>
        <w:t>19)</w:t>
      </w:r>
      <w:r w:rsidRPr="00A17C67">
        <w:rPr>
          <w:rFonts w:ascii="Times New Roman" w:hAnsi="Times New Roman" w:cs="Times New Roman"/>
        </w:rPr>
        <w:t xml:space="preserve">. Závazné stanovisko podle </w:t>
      </w:r>
      <w:r w:rsidRPr="008203C1">
        <w:rPr>
          <w:rFonts w:ascii="Times New Roman" w:hAnsi="Times New Roman" w:cs="Times New Roman"/>
        </w:rPr>
        <w:t xml:space="preserve">§ 9a odst. 1 </w:t>
      </w:r>
      <w:r w:rsidRPr="00A17C67">
        <w:rPr>
          <w:rFonts w:ascii="Times New Roman" w:hAnsi="Times New Roman" w:cs="Times New Roman"/>
        </w:rPr>
        <w:t xml:space="preserve">se v takovém případě vydává současně jako jednotné environmentální stanovisko za podmínek stanovených tímto zákonem a jinými právními předpisy; to neplatí pro záměry, u nichž oznamovatel nepožádal o vydání jednotného environmentálního stanoviska. Při vydávání jednotného environmentálního stanoviska k záměrům posuzovaným podle tohoto zákona se postupuje podle tohoto zákona a podle zákona o jednotném environmentálním stanovisku; stanoví-li tento zákon něco jiného než zákon o jednotném environmentálním stanovisku, postupuje se podle tohoto zákona. </w:t>
      </w:r>
    </w:p>
    <w:p w14:paraId="777117EB" w14:textId="250C7B33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____________________ </w:t>
      </w:r>
    </w:p>
    <w:p w14:paraId="48AF8EC0" w14:textId="1200062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</w:rPr>
        <w:t>1) Směrnic</w:t>
      </w:r>
      <w:r w:rsidRPr="00A17C67">
        <w:rPr>
          <w:rFonts w:ascii="Times New Roman" w:hAnsi="Times New Roman" w:cs="Times New Roman"/>
          <w:color w:val="auto"/>
        </w:rPr>
        <w:t xml:space="preserve">e 2001/42/ES Evropského parlamentu a Rady ze dne 27. června 2001 o posuzování vlivů některých plánů a programů na životní prostředí. </w:t>
      </w:r>
    </w:p>
    <w:p w14:paraId="498B10DE" w14:textId="38F6F3A3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Směrnice Evropského parlamentu a Rady 2011/92/EU ze dne 13. prosince 2011 o posuzování vlivů některých veřejných a soukromých záměrů na životní prostředí. </w:t>
      </w:r>
    </w:p>
    <w:p w14:paraId="2D7935E4" w14:textId="6128B18A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Směrnice Evropského parlamentu a Rady 2014/52/EU ze dne 16. dubna 2014, kterou se mění směrnice Rady 2011/92/EU o posuzování vlivů některých veřejných a soukromých záměrů na životní prostředí. </w:t>
      </w:r>
    </w:p>
    <w:p w14:paraId="5749F8B6" w14:textId="5EF5715F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auto"/>
        </w:rPr>
      </w:pPr>
      <w:r w:rsidRPr="00A17C67">
        <w:rPr>
          <w:rFonts w:ascii="Times New Roman" w:hAnsi="Times New Roman" w:cs="Times New Roman"/>
          <w:b/>
          <w:bCs/>
        </w:rPr>
        <w:t>Nařízení Evropského parlamentu a Rady (EU) 2024/1735 ze dne 13. června 2024, kterým se zřizuje rámec opatření pro posílení evropského ekosystému výroby technologií pro nulové čisté emise a mění nařízení (EU) 2018/1724.</w:t>
      </w:r>
    </w:p>
    <w:p w14:paraId="431F2E68" w14:textId="5AD4E349" w:rsidR="00A252D9" w:rsidRPr="00A17C67" w:rsidRDefault="00A252D9" w:rsidP="00A252D9">
      <w:pPr>
        <w:jc w:val="both"/>
        <w:rPr>
          <w:rFonts w:ascii="Times New Roman" w:hAnsi="Times New Roman" w:cs="Times New Roman"/>
          <w:b/>
          <w:bCs/>
        </w:rPr>
      </w:pPr>
    </w:p>
    <w:p w14:paraId="7DED8BF9" w14:textId="34B3D332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>§ 21</w:t>
      </w:r>
    </w:p>
    <w:p w14:paraId="671B2766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17C67">
        <w:rPr>
          <w:rFonts w:ascii="Times New Roman" w:hAnsi="Times New Roman" w:cs="Times New Roman"/>
          <w:b/>
          <w:bCs/>
        </w:rPr>
        <w:t>Ministerstvo</w:t>
      </w:r>
    </w:p>
    <w:p w14:paraId="3F6CC3DE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4AA2E155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ab/>
        <w:t>Ministerstvo</w:t>
      </w:r>
    </w:p>
    <w:p w14:paraId="784A506D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55FC687F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a) je ústředním správním úřadem v oblasti posuzování vlivů na životní prostředí, </w:t>
      </w:r>
    </w:p>
    <w:p w14:paraId="4F41B690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270597C4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b) vykonává vrchní státní dozor v oblasti posuzování vlivů na životní prostředí, </w:t>
      </w:r>
    </w:p>
    <w:p w14:paraId="1C9C11CC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2A637F8D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c) zajišťuje posuzování </w:t>
      </w:r>
    </w:p>
    <w:p w14:paraId="4620FFCA" w14:textId="64B908A6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1. záměrů uvedených v příloze č. 1 sloupci Ministerstvo, </w:t>
      </w:r>
    </w:p>
    <w:p w14:paraId="7B01D1BB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2. záměrů, jejichž oznamovatelem je Ministerstvo obrany, uvedených i ve sloupci Orgán kraje a jejich změn, </w:t>
      </w:r>
    </w:p>
    <w:p w14:paraId="0FD7DB9D" w14:textId="69B78AD4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lastRenderedPageBreak/>
        <w:t>3. záměrů týkajících se stavby pro energetickou bezpečnost podle zákona o urychlení výs</w:t>
      </w:r>
      <w:r w:rsidR="008203C1">
        <w:rPr>
          <w:rFonts w:ascii="Times New Roman" w:hAnsi="Times New Roman" w:cs="Times New Roman"/>
          <w:color w:val="auto"/>
        </w:rPr>
        <w:t>tavby strategicky významné infra</w:t>
      </w:r>
      <w:r w:rsidRPr="00A17C67">
        <w:rPr>
          <w:rFonts w:ascii="Times New Roman" w:hAnsi="Times New Roman" w:cs="Times New Roman"/>
          <w:color w:val="auto"/>
        </w:rPr>
        <w:t xml:space="preserve">struktury, o kterých rozhoduje Dopravní a energetický stavební úřad podle stavebního zákona, uvedených i ve sloupci Orgán kraje a jejich změn, a </w:t>
      </w:r>
    </w:p>
    <w:p w14:paraId="6710C011" w14:textId="214B4942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4. záměrů a změn záměrů podle § 4 odst. 1 písm. g) a </w:t>
      </w:r>
      <w:hyperlink r:id="rId7" w:history="1">
        <w:r w:rsidRPr="00A17C67">
          <w:rPr>
            <w:rFonts w:ascii="Times New Roman" w:hAnsi="Times New Roman" w:cs="Times New Roman"/>
            <w:color w:val="auto"/>
          </w:rPr>
          <w:t>h)</w:t>
        </w:r>
      </w:hyperlink>
      <w:r w:rsidRPr="00A17C67">
        <w:rPr>
          <w:rFonts w:ascii="Times New Roman" w:hAnsi="Times New Roman" w:cs="Times New Roman"/>
          <w:color w:val="auto"/>
        </w:rPr>
        <w:t xml:space="preserve">, pokud k těmto záměrům vydalo stanovisko, </w:t>
      </w:r>
    </w:p>
    <w:p w14:paraId="08A5488F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47DD5D81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d) zajišťuje posuzování koncepcí v případech, kdy dotčené území zasahuje na území více krajů nebo pokud dotčené území tvoří území celého státu, </w:t>
      </w:r>
    </w:p>
    <w:p w14:paraId="1259099D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7CD28726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e) poskytuje Evropské komisi v souladu s právními předpisy Evropské unie informace v oblasti posuzování vlivů na životní prostředí, </w:t>
      </w:r>
    </w:p>
    <w:p w14:paraId="3397C912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61099293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f) zajišťuje mezistátní posuzování koncepcí a mezistátní posuzování záměrů, </w:t>
      </w:r>
    </w:p>
    <w:p w14:paraId="474905D7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5771ED49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g) zajišťuje posuzování dalších záměrů, u kterých je příslušný orgán kraje, pokud si tuto působnost v jednotlivém případě vyhradilo, </w:t>
      </w:r>
    </w:p>
    <w:p w14:paraId="48A8DDBD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114F7BCC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h) vede souhrnnou evidenci všech zahajovaných posuzování a evidenci všech vydaných závěrů zjišťovacích řízení a stanovisek, </w:t>
      </w:r>
    </w:p>
    <w:p w14:paraId="314CF64F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70920D30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i) uděluje a odnímá autorizaci, </w:t>
      </w:r>
    </w:p>
    <w:p w14:paraId="2E10D822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57406731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j) vede v Informačním systému EIA/SEA dálkově přístupný veřejný seznam držitelů autorizace, </w:t>
      </w:r>
    </w:p>
    <w:p w14:paraId="5CC3B0A5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5A5C8EB8" w14:textId="4CEAC53E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A17C67">
        <w:rPr>
          <w:rFonts w:ascii="Times New Roman" w:hAnsi="Times New Roman" w:cs="Times New Roman"/>
        </w:rPr>
        <w:t>k) vydává stanovisko k posouzení vlivů provádění politiky územního rozvoje, stanovisko k posouzení vlivů provádění územního rozvojového plánu a stanovisko k po</w:t>
      </w:r>
      <w:r w:rsidRPr="00A17C67">
        <w:rPr>
          <w:rFonts w:ascii="Times New Roman" w:hAnsi="Times New Roman" w:cs="Times New Roman"/>
          <w:color w:val="auto"/>
        </w:rPr>
        <w:t>souzení vlivů provádění zásad územního rozvoje a je dotčeným orgánem při jejich pořizování</w:t>
      </w:r>
      <w:r w:rsidRPr="00A17C67">
        <w:rPr>
          <w:rFonts w:ascii="Times New Roman" w:hAnsi="Times New Roman" w:cs="Times New Roman"/>
          <w:strike/>
          <w:color w:val="auto"/>
        </w:rPr>
        <w:t xml:space="preserve"> a</w:t>
      </w:r>
      <w:r w:rsidR="00A17C67" w:rsidRPr="00A17C67">
        <w:rPr>
          <w:rFonts w:ascii="Times New Roman" w:hAnsi="Times New Roman" w:cs="Times New Roman"/>
          <w:b/>
          <w:bCs/>
          <w:color w:val="auto"/>
        </w:rPr>
        <w:t>,</w:t>
      </w:r>
    </w:p>
    <w:p w14:paraId="2BDC0E73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342310F1" w14:textId="541D0612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>l) zveřejňuje způsobem umožňujícím dálkový přístup informace o možnostech domáhat se žalobou zrušení rozhodnutí podle § 7 odst. 6 nebo podle § 9a odst. 3</w:t>
      </w:r>
      <w:r w:rsidRPr="00A17C67">
        <w:rPr>
          <w:rFonts w:ascii="Times New Roman" w:hAnsi="Times New Roman" w:cs="Times New Roman"/>
          <w:strike/>
          <w:color w:val="auto"/>
        </w:rPr>
        <w:t>.</w:t>
      </w:r>
      <w:r w:rsidRPr="00A17C67">
        <w:rPr>
          <w:rFonts w:ascii="Times New Roman" w:hAnsi="Times New Roman" w:cs="Times New Roman"/>
          <w:color w:val="auto"/>
        </w:rPr>
        <w:t xml:space="preserve"> </w:t>
      </w:r>
      <w:r w:rsidR="00A17C67" w:rsidRPr="00A17C67">
        <w:rPr>
          <w:rFonts w:ascii="Times New Roman" w:hAnsi="Times New Roman" w:cs="Times New Roman"/>
          <w:b/>
          <w:bCs/>
          <w:color w:val="auto"/>
        </w:rPr>
        <w:t>a</w:t>
      </w:r>
    </w:p>
    <w:p w14:paraId="404DCC1C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039C30DB" w14:textId="335948B0" w:rsidR="00A252D9" w:rsidRPr="00A17C67" w:rsidRDefault="00A17C67" w:rsidP="00A17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A17C67">
        <w:rPr>
          <w:rFonts w:ascii="Times New Roman" w:hAnsi="Times New Roman" w:cs="Times New Roman"/>
          <w:b/>
          <w:bCs/>
        </w:rPr>
        <w:t>m) je jednotným kontaktním místem ve smyslu čl. 6 nařízení Evropského parlamentu a Rady (EU) 2024/1735 pro záměry podléhající posuzování vlivů na životní prostředí ve vztahu k povinnostem uvedeným v čl. 9 odst. 5 a 9 a čl. 10 odst. 1 nařízení Evropského parlamentu a Rady (EU) 2024/1735.</w:t>
      </w:r>
    </w:p>
    <w:p w14:paraId="1A0AFD81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</w:p>
    <w:p w14:paraId="6A06DAC7" w14:textId="3A6536B3" w:rsidR="00A252D9" w:rsidRDefault="00A252D9" w:rsidP="00A252D9">
      <w:pPr>
        <w:jc w:val="both"/>
        <w:rPr>
          <w:rFonts w:ascii="Times New Roman" w:hAnsi="Times New Roman" w:cs="Times New Roman"/>
          <w:b/>
          <w:bCs/>
        </w:rPr>
      </w:pPr>
    </w:p>
    <w:p w14:paraId="57F048FE" w14:textId="382D1B8E" w:rsidR="00A17C67" w:rsidRDefault="00A17C67" w:rsidP="00A252D9">
      <w:pPr>
        <w:jc w:val="both"/>
        <w:rPr>
          <w:rFonts w:ascii="Times New Roman" w:hAnsi="Times New Roman" w:cs="Times New Roman"/>
          <w:b/>
          <w:bCs/>
        </w:rPr>
      </w:pPr>
    </w:p>
    <w:p w14:paraId="3586E3EA" w14:textId="12E24CDF" w:rsidR="00A17C67" w:rsidRDefault="00A17C67" w:rsidP="00A252D9">
      <w:pPr>
        <w:jc w:val="both"/>
        <w:rPr>
          <w:rFonts w:ascii="Times New Roman" w:hAnsi="Times New Roman" w:cs="Times New Roman"/>
          <w:b/>
          <w:bCs/>
        </w:rPr>
      </w:pPr>
    </w:p>
    <w:p w14:paraId="0EABB7B8" w14:textId="6CB3C3DD" w:rsidR="00A17C67" w:rsidRDefault="00A17C67" w:rsidP="00A252D9">
      <w:pPr>
        <w:jc w:val="both"/>
        <w:rPr>
          <w:rFonts w:ascii="Times New Roman" w:hAnsi="Times New Roman" w:cs="Times New Roman"/>
          <w:b/>
          <w:bCs/>
        </w:rPr>
      </w:pPr>
    </w:p>
    <w:p w14:paraId="476DF410" w14:textId="6038F08A" w:rsidR="00A17C67" w:rsidRDefault="00A17C67" w:rsidP="00A252D9">
      <w:pPr>
        <w:jc w:val="both"/>
        <w:rPr>
          <w:rFonts w:ascii="Times New Roman" w:hAnsi="Times New Roman" w:cs="Times New Roman"/>
          <w:b/>
          <w:bCs/>
        </w:rPr>
      </w:pPr>
    </w:p>
    <w:p w14:paraId="0370B91A" w14:textId="1679BB31" w:rsidR="00A17C67" w:rsidRDefault="00A17C67" w:rsidP="00A252D9">
      <w:pPr>
        <w:jc w:val="both"/>
        <w:rPr>
          <w:rFonts w:ascii="Times New Roman" w:hAnsi="Times New Roman" w:cs="Times New Roman"/>
          <w:b/>
          <w:bCs/>
        </w:rPr>
      </w:pPr>
    </w:p>
    <w:p w14:paraId="570F08BD" w14:textId="76CF0E80" w:rsidR="00A17C67" w:rsidRDefault="00A17C67" w:rsidP="00A252D9">
      <w:pPr>
        <w:jc w:val="both"/>
        <w:rPr>
          <w:rFonts w:ascii="Times New Roman" w:hAnsi="Times New Roman" w:cs="Times New Roman"/>
          <w:b/>
          <w:bCs/>
        </w:rPr>
      </w:pPr>
    </w:p>
    <w:p w14:paraId="006C4E86" w14:textId="560D0E45" w:rsidR="00A17C67" w:rsidRDefault="00A17C67" w:rsidP="00A252D9">
      <w:pPr>
        <w:jc w:val="both"/>
        <w:rPr>
          <w:rFonts w:ascii="Times New Roman" w:hAnsi="Times New Roman" w:cs="Times New Roman"/>
          <w:b/>
          <w:bCs/>
        </w:rPr>
      </w:pPr>
    </w:p>
    <w:p w14:paraId="4DE9519F" w14:textId="0AED1CED" w:rsidR="00A17C67" w:rsidRDefault="00A17C67" w:rsidP="00A252D9">
      <w:pPr>
        <w:jc w:val="both"/>
        <w:rPr>
          <w:rFonts w:ascii="Times New Roman" w:hAnsi="Times New Roman" w:cs="Times New Roman"/>
          <w:b/>
          <w:bCs/>
        </w:rPr>
      </w:pPr>
    </w:p>
    <w:p w14:paraId="457B739C" w14:textId="2C0EF466" w:rsidR="00A17C67" w:rsidRDefault="00A17C67" w:rsidP="00A252D9">
      <w:pPr>
        <w:jc w:val="both"/>
        <w:rPr>
          <w:rFonts w:ascii="Times New Roman" w:hAnsi="Times New Roman" w:cs="Times New Roman"/>
          <w:b/>
          <w:bCs/>
        </w:rPr>
      </w:pPr>
    </w:p>
    <w:p w14:paraId="54C2C6E5" w14:textId="4F5510DD" w:rsidR="00A17C67" w:rsidRDefault="00A17C67" w:rsidP="00A252D9">
      <w:pPr>
        <w:jc w:val="both"/>
        <w:rPr>
          <w:rFonts w:ascii="Times New Roman" w:hAnsi="Times New Roman" w:cs="Times New Roman"/>
          <w:b/>
          <w:bCs/>
        </w:rPr>
      </w:pPr>
    </w:p>
    <w:p w14:paraId="0D74C7AE" w14:textId="77777777" w:rsidR="00A17C67" w:rsidRPr="00A17C67" w:rsidRDefault="00A17C67" w:rsidP="00A252D9">
      <w:pPr>
        <w:jc w:val="both"/>
        <w:rPr>
          <w:rFonts w:ascii="Times New Roman" w:hAnsi="Times New Roman" w:cs="Times New Roman"/>
          <w:b/>
          <w:bCs/>
        </w:rPr>
      </w:pPr>
    </w:p>
    <w:p w14:paraId="481C3A18" w14:textId="77777777" w:rsidR="00A252D9" w:rsidRPr="00A17C67" w:rsidRDefault="00A252D9" w:rsidP="00A252D9">
      <w:pPr>
        <w:jc w:val="both"/>
        <w:rPr>
          <w:rFonts w:ascii="Times New Roman" w:hAnsi="Times New Roman" w:cs="Times New Roman"/>
          <w:b/>
          <w:bCs/>
        </w:rPr>
      </w:pPr>
    </w:p>
    <w:p w14:paraId="5F58A843" w14:textId="626519D9" w:rsidR="00A252D9" w:rsidRPr="00A17C67" w:rsidRDefault="00A252D9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  <w:r w:rsidRPr="00A17C67">
        <w:rPr>
          <w:rFonts w:ascii="Times New Roman" w:hAnsi="Times New Roman" w:cs="Times New Roman"/>
          <w:b/>
          <w:bCs/>
          <w:color w:val="auto"/>
        </w:rPr>
        <w:t>Zákon č. 416/2009 Sb., o urychlení výstavby strategicky významné infrastruktury, ve znění pozdějších předpisů</w:t>
      </w:r>
    </w:p>
    <w:p w14:paraId="5B9D7F22" w14:textId="3FF21EEF" w:rsidR="00A252D9" w:rsidRPr="00A17C67" w:rsidRDefault="00A252D9" w:rsidP="00A252D9">
      <w:pPr>
        <w:jc w:val="center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>§ 1</w:t>
      </w:r>
    </w:p>
    <w:p w14:paraId="34816881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>(1) Tento zákon zapracovává příslušné předpisy Evropské unie</w:t>
      </w:r>
      <w:r w:rsidRPr="00A17C67">
        <w:rPr>
          <w:rFonts w:ascii="Times New Roman" w:hAnsi="Times New Roman" w:cs="Times New Roman"/>
          <w:vertAlign w:val="superscript"/>
        </w:rPr>
        <w:t>24)</w:t>
      </w:r>
      <w:r w:rsidRPr="00A17C67">
        <w:rPr>
          <w:rFonts w:ascii="Times New Roman" w:hAnsi="Times New Roman" w:cs="Times New Roman"/>
        </w:rPr>
        <w:t xml:space="preserve"> a upravuje postupy při přípravě a povolování staveb dopravní, vodní, energetické a těžební infrastruktury, infrastruktury pro ukládání oxidu uhličitého, a infrastruktury elektronických komunikací a strategických investičních staveb, při získávání práv k pozemkům a stavbám potřebných pro uskutečnění uvedených staveb a uvádění těchto staveb do užívání s cílem urychlit jejich majetkoprávní přípravu, povolování a následný soudní přezkum správních rozhodnutí v souvislosti s těmito stavbami. Tento zákon dále upravuje v návaznosti na přímo použitelný předpis Evropské unie</w:t>
      </w:r>
      <w:r w:rsidRPr="00A17C67">
        <w:rPr>
          <w:rFonts w:ascii="Times New Roman" w:hAnsi="Times New Roman" w:cs="Times New Roman"/>
          <w:vertAlign w:val="superscript"/>
        </w:rPr>
        <w:t>10)</w:t>
      </w:r>
      <w:r w:rsidRPr="00A17C67">
        <w:rPr>
          <w:rFonts w:ascii="Times New Roman" w:hAnsi="Times New Roman" w:cs="Times New Roman"/>
        </w:rPr>
        <w:t xml:space="preserve"> výkon státní správy a postup při povolování projektů společného zájmu. </w:t>
      </w:r>
    </w:p>
    <w:p w14:paraId="6392FAF9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18B301B2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ab/>
        <w:t xml:space="preserve">(2) Dopravní infrastrukturou se pro účely tohoto zákona rozumí </w:t>
      </w:r>
    </w:p>
    <w:p w14:paraId="2654B7F9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1B2288AD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a) stavby dálnic nebo silnic I. třídy nebo stavby s nimi související, </w:t>
      </w:r>
    </w:p>
    <w:p w14:paraId="16E217B0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7AB36F4F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b) stavby dráhy celostátní nebo stavby s nimi související, </w:t>
      </w:r>
    </w:p>
    <w:p w14:paraId="50C228A1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439D76F0" w14:textId="3E430CC9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c) infrastruktura pro vodní dopravu uvedená v příloze č. 2 k tomuto zákonu, </w:t>
      </w:r>
    </w:p>
    <w:p w14:paraId="0AE8B5D9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1C950573" w14:textId="317C0933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d) terminály železniční a silniční dopravy podle § 5e odst. 1 písm. c), </w:t>
      </w:r>
    </w:p>
    <w:p w14:paraId="1BFEC86C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185BA131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>e) další stavby dopravní infrastruktury</w:t>
      </w:r>
      <w:r w:rsidRPr="00A17C67">
        <w:rPr>
          <w:rFonts w:ascii="Times New Roman" w:hAnsi="Times New Roman" w:cs="Times New Roman"/>
          <w:color w:val="auto"/>
          <w:vertAlign w:val="superscript"/>
        </w:rPr>
        <w:t>1)</w:t>
      </w:r>
      <w:r w:rsidRPr="00A17C67">
        <w:rPr>
          <w:rFonts w:ascii="Times New Roman" w:hAnsi="Times New Roman" w:cs="Times New Roman"/>
          <w:color w:val="auto"/>
        </w:rPr>
        <w:t xml:space="preserve"> nebo stavby s nimi související umisťované v plochách nebo koridorech vymezených v územním rozvojovém plánu, nebo </w:t>
      </w:r>
    </w:p>
    <w:p w14:paraId="0E4392FF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516AEAF8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>f) v územně plánovací dokumentaci vymezené veřejně prospěšné stavby dopravní infrastruktury</w:t>
      </w:r>
      <w:r w:rsidRPr="00A17C67">
        <w:rPr>
          <w:rFonts w:ascii="Times New Roman" w:hAnsi="Times New Roman" w:cs="Times New Roman"/>
          <w:color w:val="auto"/>
          <w:vertAlign w:val="superscript"/>
        </w:rPr>
        <w:t>1)</w:t>
      </w:r>
      <w:r w:rsidRPr="00A17C67">
        <w:rPr>
          <w:rFonts w:ascii="Times New Roman" w:hAnsi="Times New Roman" w:cs="Times New Roman"/>
          <w:color w:val="auto"/>
        </w:rPr>
        <w:t xml:space="preserve"> nebo stavby s nimi související. </w:t>
      </w:r>
    </w:p>
    <w:p w14:paraId="0DC51DFD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5E1C29FB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ab/>
        <w:t xml:space="preserve">(3) Vodní infrastrukturou se pro účely tohoto zákona rozumí </w:t>
      </w:r>
    </w:p>
    <w:p w14:paraId="79836F6D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4256A25B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>a) stavba vodního díla</w:t>
      </w:r>
      <w:r w:rsidRPr="00A17C67">
        <w:rPr>
          <w:rFonts w:ascii="Times New Roman" w:hAnsi="Times New Roman" w:cs="Times New Roman"/>
          <w:color w:val="auto"/>
          <w:vertAlign w:val="superscript"/>
        </w:rPr>
        <w:t>11)</w:t>
      </w:r>
      <w:r w:rsidRPr="00A17C67">
        <w:rPr>
          <w:rFonts w:ascii="Times New Roman" w:hAnsi="Times New Roman" w:cs="Times New Roman"/>
          <w:color w:val="auto"/>
        </w:rPr>
        <w:t xml:space="preserve"> umisťovaného v plochách a koridorech vymezených v územním rozvojovém plánu a stavby s ním související, nebo </w:t>
      </w:r>
    </w:p>
    <w:p w14:paraId="109F5D58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4CCCBC1B" w14:textId="1C776ACB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>b) stavba vodního díla</w:t>
      </w:r>
      <w:r w:rsidRPr="00A17C67">
        <w:rPr>
          <w:rFonts w:ascii="Times New Roman" w:hAnsi="Times New Roman" w:cs="Times New Roman"/>
          <w:color w:val="auto"/>
          <w:vertAlign w:val="superscript"/>
        </w:rPr>
        <w:t>11)</w:t>
      </w:r>
      <w:r w:rsidRPr="00A17C67">
        <w:rPr>
          <w:rFonts w:ascii="Times New Roman" w:hAnsi="Times New Roman" w:cs="Times New Roman"/>
          <w:color w:val="auto"/>
        </w:rPr>
        <w:t xml:space="preserve"> budovaná ve veřejném zájmu na ochranu před povodněmi, k prevenci nebo zmírnění následků sucha, jakož i k jiným účelům podle vodního zákona11) a ve veřejném zájmu, a stavby s ní související. </w:t>
      </w:r>
    </w:p>
    <w:p w14:paraId="6559280E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28628F88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  <w:color w:val="auto"/>
        </w:rPr>
        <w:tab/>
        <w:t>(4) Energetickou infrastrukturou se pro úč</w:t>
      </w:r>
      <w:r w:rsidRPr="00A17C67">
        <w:rPr>
          <w:rFonts w:ascii="Times New Roman" w:hAnsi="Times New Roman" w:cs="Times New Roman"/>
        </w:rPr>
        <w:t>ely tohoto zákona rozumějí stavby a zařízení elektrizační soustavy, plynárenské soustavy, soustavy zásobování tepelnou energií, stavby pro energetickou bezpečnost nebo stavby a zařízení ropovodů a produktovodů podle jiného zákona zřizované a provozované ve veřejném zájmu</w:t>
      </w:r>
      <w:r w:rsidRPr="00A17C67">
        <w:rPr>
          <w:rFonts w:ascii="Times New Roman" w:hAnsi="Times New Roman" w:cs="Times New Roman"/>
          <w:vertAlign w:val="superscript"/>
        </w:rPr>
        <w:t>5)</w:t>
      </w:r>
      <w:r w:rsidRPr="00A17C67">
        <w:rPr>
          <w:rFonts w:ascii="Times New Roman" w:hAnsi="Times New Roman" w:cs="Times New Roman"/>
        </w:rPr>
        <w:t xml:space="preserve">, pokud nejsou v rozporu s územním rozvojovým plánem a se zásadami územního rozvoje, dobíjecí stanice, vodíkové čerpací stanice nebo čerpací stanice na zkapalněný metan a stavby související s těmito stavbami a zařízeními. Vybranými stavbami energetické infrastruktury se rozumí </w:t>
      </w:r>
    </w:p>
    <w:p w14:paraId="68292434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0D5EC9E4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a) stavby a zařízení přenosové soustavy, </w:t>
      </w:r>
    </w:p>
    <w:p w14:paraId="0873F1FE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63175FA8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b) výrobny elektřiny o celkovém instalovaném elektrickém výkonu 100 MW a více, </w:t>
      </w:r>
    </w:p>
    <w:p w14:paraId="12BDADB0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11BD03DE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c) stavby a zařízení přepravní soustavy, </w:t>
      </w:r>
    </w:p>
    <w:p w14:paraId="1B4A27B4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06E1E5E2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d) zásobníky plynu, </w:t>
      </w:r>
    </w:p>
    <w:p w14:paraId="233CB923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6B9749BB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e) stavby a zařízení ropovodů a produktovodů, </w:t>
      </w:r>
    </w:p>
    <w:p w14:paraId="25F478DB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2ECD2F05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lastRenderedPageBreak/>
        <w:t xml:space="preserve">f) stavby a zařízení distribuční soustavy o napětí 110 </w:t>
      </w:r>
      <w:proofErr w:type="spellStart"/>
      <w:r w:rsidRPr="00A17C67">
        <w:rPr>
          <w:rFonts w:ascii="Times New Roman" w:hAnsi="Times New Roman" w:cs="Times New Roman"/>
        </w:rPr>
        <w:t>kV</w:t>
      </w:r>
      <w:proofErr w:type="spellEnd"/>
      <w:r w:rsidRPr="00A17C67">
        <w:rPr>
          <w:rFonts w:ascii="Times New Roman" w:hAnsi="Times New Roman" w:cs="Times New Roman"/>
        </w:rPr>
        <w:t xml:space="preserve"> včetně transformovny 110 </w:t>
      </w:r>
      <w:proofErr w:type="spellStart"/>
      <w:r w:rsidRPr="00A17C67">
        <w:rPr>
          <w:rFonts w:ascii="Times New Roman" w:hAnsi="Times New Roman" w:cs="Times New Roman"/>
        </w:rPr>
        <w:t>kV</w:t>
      </w:r>
      <w:proofErr w:type="spellEnd"/>
      <w:r w:rsidRPr="00A17C67">
        <w:rPr>
          <w:rFonts w:ascii="Times New Roman" w:hAnsi="Times New Roman" w:cs="Times New Roman"/>
        </w:rPr>
        <w:t xml:space="preserve">, </w:t>
      </w:r>
    </w:p>
    <w:p w14:paraId="109194E8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3C0A43B3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g) stavby a zařízení distribuční soustavy včetně transformovny související s dobíjecími stanicemi, vodíkovými čerpacími stanicemi nebo čerpacími stanicemi na zkapalněný metan, </w:t>
      </w:r>
    </w:p>
    <w:p w14:paraId="70D40570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10E18A9C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h) stavby a zařízení plynu o tlakové hladině 4 až 40 bar včetně souvisejících technologických objektů, </w:t>
      </w:r>
    </w:p>
    <w:p w14:paraId="378F2BF5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0A963312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i) stavby a zařízení rozvodných tepelných zařízení, </w:t>
      </w:r>
    </w:p>
    <w:p w14:paraId="3F31DD94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770E5EC3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j) výrobny plynu o výkonu nad 1 MW připojené k plynárenské soustavě včetně těžebních plynovodů, nebo </w:t>
      </w:r>
    </w:p>
    <w:p w14:paraId="7D566389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763572FB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k) stavby pro energetickou bezpečnost. </w:t>
      </w:r>
    </w:p>
    <w:p w14:paraId="7B88FCE5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515AC4D1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ab/>
        <w:t xml:space="preserve">(5) Stavbou pro energetickou bezpečnost se pro účely tohoto zákona rozumí </w:t>
      </w:r>
    </w:p>
    <w:p w14:paraId="223D67DC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28C625E9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a) stavba v areálu jaderného zařízení, jehož součástí je jaderný reaktor využívající štěpnou řetězovou reakci nebo jinou řetězovou jadernou reakci pro energetické účely, nebo </w:t>
      </w:r>
    </w:p>
    <w:p w14:paraId="54A91DF5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76EF1053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b) další stavba nacházející se uvnitř i vně areálu jaderného zařízení související s výstavbou, uváděním do provozu, provozem, prováděním změn nebo údržbou stavby podle písmene a), včetně </w:t>
      </w:r>
    </w:p>
    <w:p w14:paraId="4C523591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1. stavby a zařízení nezbytných pro připojení výroben elektřiny a zdrojů energie do distribuční, přenosové nebo přepravní soustavy nebo do soustavy zásobování tepelnou energií, </w:t>
      </w:r>
    </w:p>
    <w:p w14:paraId="08DDC76F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2. stavby a zařízení elektrizační soustavy, plynárenské soustavy nebo soustavy zásobování tepelnou energií, včetně stavby a zařízení, které jsou nezbytné za účelem bezpečného a spolehlivého provozu této soustavy, </w:t>
      </w:r>
    </w:p>
    <w:p w14:paraId="3F3892F0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3. jiné nezbytné stavby technické infrastruktury, </w:t>
      </w:r>
    </w:p>
    <w:p w14:paraId="7869E211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4. nezbytné stavby dopravní infrastruktury, </w:t>
      </w:r>
    </w:p>
    <w:p w14:paraId="1112A110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5. staveniště, nebo </w:t>
      </w:r>
    </w:p>
    <w:p w14:paraId="12B99218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6. stavby skladu čerstvého nebo vyhořelého jaderného paliva. </w:t>
      </w:r>
    </w:p>
    <w:p w14:paraId="74266DCB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014F051A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ab/>
        <w:t xml:space="preserve">(6) Dobíjecí stanicí se pro účely tohoto zákona rozumí v souladu s přímo použitelným předpisem Evropské unie upravujícím zavádění infrastruktury pro alternativní paliva veřejně přístupná dobíjecí stanice </w:t>
      </w:r>
    </w:p>
    <w:p w14:paraId="4F836FC4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00638A53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a) pro lehká elektrická vozidla umístěná podél transevropské dopravní sítě podle tohoto přímo použitelného předpisu, nebo </w:t>
      </w:r>
    </w:p>
    <w:p w14:paraId="05BE421C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6EFAE93D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b) pro těžká elektrická vozidla umístěná podél transevropské dopravní sítě, na bezpečné a chráněné parkovací ploše nebo v městském uzlu podle tohoto přímo použitelného předpisu. </w:t>
      </w:r>
    </w:p>
    <w:p w14:paraId="2AD2B2CC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70220383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ab/>
        <w:t xml:space="preserve">(7) Vodíkovou čerpací stanicí se pro účely tohoto zákona rozumí v souladu s přímo použitelným předpisem Evropské unie upravujícím zavádění infrastruktury pro alternativní paliva veřejně přístupná vodíková čerpací stanice pro silniční vozidla, která </w:t>
      </w:r>
    </w:p>
    <w:p w14:paraId="63EDBCC3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326F6E91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a) je umístěna podél transevropské dopravní sítě nebo v městském uzlu podle tohoto přímo použitelného předpisu, nebo </w:t>
      </w:r>
    </w:p>
    <w:p w14:paraId="77F16F76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044E0A51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b) rovněž umožňuje čerpání vodíku zpravidla do palivové nádrže hnacích drážních vozidel. </w:t>
      </w:r>
    </w:p>
    <w:p w14:paraId="40EE700F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164DD6DA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ab/>
        <w:t xml:space="preserve">(8) Čerpací stanicí na zkapalněný metan se pro účely tohoto zákona rozumí v souladu s přímo použitelným předpisem Evropské unie upravujícím zavádění infrastruktury pro alternativní paliva veřejně přístupná čerpací stanice na zkapalněný metan pro silniční vozidla, která je umístěna podél transevropské dopravní sítě, v městském uzlu podle tohoto přímo použitelného předpisu, nebo do 10 km dojezdové vzdálenosti od nejbližšího výjezdu ze silnice, která je součástí sítě TEN-T. </w:t>
      </w:r>
    </w:p>
    <w:p w14:paraId="43383626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5E82182F" w14:textId="6464E68A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</w:rPr>
        <w:tab/>
        <w:t>(9) Těžební infrastrukturou se pro účely tohoto zákona rozumí stavby a zařízení, které mají sloužit otvírce, přípravě a dobývání ložisek strategického významu podl</w:t>
      </w:r>
      <w:r w:rsidRPr="00A17C67">
        <w:rPr>
          <w:rFonts w:ascii="Times New Roman" w:hAnsi="Times New Roman" w:cs="Times New Roman"/>
          <w:color w:val="auto"/>
        </w:rPr>
        <w:t xml:space="preserve">e horního zákona, jakož i stavby sloužící k jejich úpravě a zušlechťování prováděných v souvislosti s jejich dobýváním, dále stavby určené k jejich přepravě a úložná místa pro těžební odpad. </w:t>
      </w:r>
    </w:p>
    <w:p w14:paraId="3FE6AEBF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lastRenderedPageBreak/>
        <w:t xml:space="preserve"> </w:t>
      </w:r>
    </w:p>
    <w:p w14:paraId="0FCAAFE7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ab/>
        <w:t>(10) Infrastrukturou pro ukládání oxidu uhličitého se pro účely tohoto zákona rozumí stavby a zařízení, které mají sloužit k ukládání oxidu uhličitého do přírodních horninových struktur</w:t>
      </w:r>
      <w:r w:rsidRPr="00A17C67">
        <w:rPr>
          <w:rFonts w:ascii="Times New Roman" w:hAnsi="Times New Roman" w:cs="Times New Roman"/>
          <w:color w:val="auto"/>
          <w:vertAlign w:val="superscript"/>
        </w:rPr>
        <w:t>25)</w:t>
      </w:r>
      <w:r w:rsidRPr="00A17C67">
        <w:rPr>
          <w:rFonts w:ascii="Times New Roman" w:hAnsi="Times New Roman" w:cs="Times New Roman"/>
          <w:color w:val="auto"/>
        </w:rPr>
        <w:t xml:space="preserve"> nebo k zachytávání oxidu uhličitého, a stavby přepravní sítě určené k přepravě oxidu uhličitého na úložiště oxidu uhličitého. </w:t>
      </w:r>
    </w:p>
    <w:p w14:paraId="6DCAF493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1E15AC6E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ab/>
        <w:t xml:space="preserve">(11) Infrastrukturou elektronických komunikací se pro účely tohoto zákona rozumí stavba komunikačního vedení veřejné komunikační sítě jako technické infrastruktury elektronických komunikací a související komunikační zařízení, včetně jejich elektrických přípojek. </w:t>
      </w:r>
    </w:p>
    <w:p w14:paraId="4084C9B5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413B051D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ab/>
        <w:t xml:space="preserve">(12) </w:t>
      </w:r>
      <w:proofErr w:type="spellStart"/>
      <w:r w:rsidRPr="00A17C67">
        <w:rPr>
          <w:rFonts w:ascii="Times New Roman" w:hAnsi="Times New Roman" w:cs="Times New Roman"/>
          <w:color w:val="auto"/>
        </w:rPr>
        <w:t>Přípoloží</w:t>
      </w:r>
      <w:proofErr w:type="spellEnd"/>
      <w:r w:rsidRPr="00A17C67">
        <w:rPr>
          <w:rFonts w:ascii="Times New Roman" w:hAnsi="Times New Roman" w:cs="Times New Roman"/>
          <w:color w:val="auto"/>
        </w:rPr>
        <w:t xml:space="preserve"> se pro účely tohoto zákona rozumí podzemní stavba infrastruktury elektronických komunikací, která se přikládá </w:t>
      </w:r>
    </w:p>
    <w:p w14:paraId="103FF3A4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0072A6B6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>a) ke stavbě pozemní komunikace</w:t>
      </w:r>
      <w:r w:rsidRPr="00A17C67">
        <w:rPr>
          <w:rFonts w:ascii="Times New Roman" w:hAnsi="Times New Roman" w:cs="Times New Roman"/>
          <w:color w:val="auto"/>
          <w:vertAlign w:val="superscript"/>
        </w:rPr>
        <w:t>17)</w:t>
      </w:r>
      <w:r w:rsidRPr="00A17C67">
        <w:rPr>
          <w:rFonts w:ascii="Times New Roman" w:hAnsi="Times New Roman" w:cs="Times New Roman"/>
          <w:color w:val="auto"/>
        </w:rPr>
        <w:t xml:space="preserve"> nebo dráhy</w:t>
      </w:r>
      <w:r w:rsidRPr="00A17C67">
        <w:rPr>
          <w:rFonts w:ascii="Times New Roman" w:hAnsi="Times New Roman" w:cs="Times New Roman"/>
          <w:color w:val="auto"/>
          <w:vertAlign w:val="superscript"/>
        </w:rPr>
        <w:t>18)</w:t>
      </w:r>
      <w:r w:rsidRPr="00A17C67">
        <w:rPr>
          <w:rFonts w:ascii="Times New Roman" w:hAnsi="Times New Roman" w:cs="Times New Roman"/>
          <w:color w:val="auto"/>
        </w:rPr>
        <w:t xml:space="preserve">, nebo </w:t>
      </w:r>
    </w:p>
    <w:p w14:paraId="49723636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3D9681E5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>b) k podzemní stavbě kanalizace, energetického vedení, veřejného osvětlení, produktovodu nebo vedení sítě elektronických komunikací</w:t>
      </w:r>
      <w:r w:rsidRPr="00A17C67">
        <w:rPr>
          <w:rFonts w:ascii="Times New Roman" w:hAnsi="Times New Roman" w:cs="Times New Roman"/>
          <w:color w:val="auto"/>
          <w:vertAlign w:val="superscript"/>
        </w:rPr>
        <w:t>19)</w:t>
      </w:r>
      <w:r w:rsidRPr="00A17C67">
        <w:rPr>
          <w:rFonts w:ascii="Times New Roman" w:hAnsi="Times New Roman" w:cs="Times New Roman"/>
          <w:color w:val="auto"/>
        </w:rPr>
        <w:t xml:space="preserve">. </w:t>
      </w:r>
    </w:p>
    <w:p w14:paraId="5202100C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342E7EBE" w14:textId="584EB16B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ab/>
        <w:t xml:space="preserve">(13) Strategickou investiční stavbou se pro účely tohoto zákona rozumí stavba pro výrobu a skladování umisťovaná v zastavitelných nebo transformačních plochách o rozloze nejméně 45 ha vymezených k tomuto účelu v územním rozvojovém plánu nebo v zásadách územního rozvoje uvedená v příloze č. 3 k tomuto zákonu a stavby s touto stavbou související. </w:t>
      </w:r>
    </w:p>
    <w:p w14:paraId="76C10574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</w:rPr>
      </w:pPr>
      <w:r w:rsidRPr="00A17C67">
        <w:rPr>
          <w:rFonts w:ascii="Times New Roman" w:hAnsi="Times New Roman" w:cs="Times New Roman"/>
          <w:color w:val="auto"/>
        </w:rPr>
        <w:t xml:space="preserve"> </w:t>
      </w:r>
    </w:p>
    <w:p w14:paraId="5AA1758C" w14:textId="0CF80767" w:rsidR="00A252D9" w:rsidRPr="00A17C67" w:rsidRDefault="00A252D9" w:rsidP="00A252D9">
      <w:pPr>
        <w:ind w:firstLine="708"/>
        <w:jc w:val="both"/>
        <w:rPr>
          <w:rFonts w:ascii="Times New Roman" w:hAnsi="Times New Roman" w:cs="Times New Roman"/>
          <w:b/>
          <w:bCs/>
          <w:color w:val="auto"/>
        </w:rPr>
      </w:pPr>
      <w:r w:rsidRPr="00A17C67">
        <w:rPr>
          <w:rFonts w:ascii="Times New Roman" w:hAnsi="Times New Roman" w:cs="Times New Roman"/>
          <w:b/>
          <w:bCs/>
          <w:color w:val="auto"/>
        </w:rPr>
        <w:t>(14) Při povolování staveb, ve kterých mají být uskutečňovány činnosti výrob technologií  a komponent pro nulové čisté emise uvedené v příloze I k nařízení Evropského parlamentu a Rady (EU) 2024/1735 a staveb energeticky náročného zařízení nebo jejich změn z odvětví výroby oceli, hliníku, neželezných kovů, chemických látek, cementu, vápna, skla, keramiky, hnojiv, jakož i celulózy a papíru, které jsou součástí dodavatelského řetězce technologie pro nulové čisté emise a které mají výrazně a trvale snížit míry emisí ekvivalentu oxidu uhličitého z průmyslových procesů se postupuje obdobně jako při povolování strategických investičních staveb podle odstavce 13.</w:t>
      </w:r>
    </w:p>
    <w:p w14:paraId="263D011A" w14:textId="182A0E69" w:rsidR="00A252D9" w:rsidRPr="00A17C67" w:rsidRDefault="00A252D9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  <w:r w:rsidRPr="00A17C67">
        <w:rPr>
          <w:rFonts w:ascii="Times New Roman" w:hAnsi="Times New Roman" w:cs="Times New Roman"/>
          <w:b/>
          <w:bCs/>
          <w:color w:val="auto"/>
        </w:rPr>
        <w:t>____________________</w:t>
      </w:r>
    </w:p>
    <w:p w14:paraId="59066AC3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24) Směrnice Evropského parlamentu a Rady (EU) </w:t>
      </w:r>
      <w:hyperlink r:id="rId8" w:history="1">
        <w:r w:rsidRPr="00A17C67">
          <w:rPr>
            <w:rFonts w:ascii="Times New Roman" w:hAnsi="Times New Roman" w:cs="Times New Roman"/>
            <w:color w:val="0000FF"/>
            <w:u w:val="single"/>
          </w:rPr>
          <w:t>2021/1187</w:t>
        </w:r>
      </w:hyperlink>
      <w:r w:rsidRPr="00A17C67">
        <w:rPr>
          <w:rFonts w:ascii="Times New Roman" w:hAnsi="Times New Roman" w:cs="Times New Roman"/>
        </w:rPr>
        <w:t xml:space="preserve"> ze dne 7. července 2021 o zjednodušení opatření na zlepšení realizace transevropské dopravní sítě (TEN-T). </w:t>
      </w:r>
    </w:p>
    <w:p w14:paraId="17500CEF" w14:textId="62574F11" w:rsidR="00A252D9" w:rsidRDefault="00A252D9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  <w:r w:rsidRPr="00A17C67">
        <w:rPr>
          <w:rFonts w:ascii="Times New Roman" w:hAnsi="Times New Roman" w:cs="Times New Roman"/>
          <w:b/>
          <w:bCs/>
        </w:rPr>
        <w:t>Nařízení Evropského parlamentu a Rady (EU) 2024/1735 ze dne 13. června 2024, kterým se zřizuje rámec opatření pro posílení evropského ekosystému výroby technologií pro nulové čisté emise a mění nařízení (EU) 2018/1724.</w:t>
      </w:r>
    </w:p>
    <w:p w14:paraId="4A8124EE" w14:textId="77777777" w:rsidR="0033135E" w:rsidRDefault="0033135E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13B0AC6E" w14:textId="77777777" w:rsidR="0033135E" w:rsidRPr="0033135E" w:rsidRDefault="0033135E" w:rsidP="0033135E">
      <w:pPr>
        <w:spacing w:before="120" w:after="120" w:line="360" w:lineRule="auto"/>
        <w:jc w:val="center"/>
        <w:rPr>
          <w:rFonts w:ascii="Times New Roman" w:hAnsi="Times New Roman" w:cs="Times New Roman"/>
          <w:b/>
        </w:rPr>
      </w:pPr>
      <w:r w:rsidRPr="0033135E">
        <w:rPr>
          <w:rFonts w:ascii="Times New Roman" w:hAnsi="Times New Roman" w:cs="Times New Roman"/>
          <w:b/>
        </w:rPr>
        <w:t>§ 5j</w:t>
      </w:r>
    </w:p>
    <w:p w14:paraId="7BD3A4B1" w14:textId="77777777" w:rsidR="0033135E" w:rsidRPr="00E0001D" w:rsidRDefault="0033135E" w:rsidP="0033135E">
      <w:pPr>
        <w:spacing w:before="120" w:after="120" w:line="360" w:lineRule="auto"/>
        <w:rPr>
          <w:rFonts w:ascii="Times New Roman" w:hAnsi="Times New Roman" w:cs="Times New Roman"/>
          <w:b/>
          <w:bCs/>
        </w:rPr>
      </w:pPr>
      <w:r w:rsidRPr="00E0001D">
        <w:rPr>
          <w:rFonts w:ascii="Times New Roman" w:hAnsi="Times New Roman" w:cs="Times New Roman"/>
          <w:b/>
          <w:bCs/>
        </w:rPr>
        <w:t>Přijetí rozhodnutí o určení oblasti jako údolí pro urychlení zavádění technologií pro nulové čisté emise</w:t>
      </w:r>
    </w:p>
    <w:p w14:paraId="01620501" w14:textId="77777777" w:rsidR="0033135E" w:rsidRPr="0033135E" w:rsidRDefault="0033135E" w:rsidP="0033135E">
      <w:pPr>
        <w:tabs>
          <w:tab w:val="left" w:pos="1134"/>
        </w:tabs>
        <w:spacing w:before="160" w:after="0"/>
        <w:ind w:firstLine="567"/>
        <w:jc w:val="both"/>
        <w:rPr>
          <w:rFonts w:ascii="Times New Roman" w:hAnsi="Times New Roman" w:cs="Times New Roman"/>
          <w:b/>
          <w:bCs/>
          <w:color w:val="auto"/>
        </w:rPr>
      </w:pPr>
      <w:r w:rsidRPr="0033135E">
        <w:rPr>
          <w:rFonts w:ascii="Times New Roman" w:hAnsi="Times New Roman" w:cs="Times New Roman"/>
          <w:b/>
          <w:bCs/>
          <w:color w:val="auto"/>
        </w:rPr>
        <w:t>(1)</w:t>
      </w:r>
      <w:r w:rsidRPr="0033135E">
        <w:rPr>
          <w:rFonts w:ascii="Times New Roman" w:hAnsi="Times New Roman" w:cs="Times New Roman"/>
          <w:b/>
          <w:bCs/>
          <w:color w:val="auto"/>
        </w:rPr>
        <w:tab/>
        <w:t xml:space="preserve">Jako údolí pro urychlení zavádění technologií pro nulové čisté emise (dále jen „údolí“) mohou být na území České republiky v zastavitelných nebo transformačních plochách uvedených v příloze č. 3 k tomuto zákonu určeny oblasti, které </w:t>
      </w:r>
    </w:p>
    <w:p w14:paraId="28669DA7" w14:textId="77777777" w:rsidR="0033135E" w:rsidRPr="0033135E" w:rsidRDefault="0033135E" w:rsidP="0033135E">
      <w:pPr>
        <w:spacing w:before="160" w:after="0"/>
        <w:jc w:val="both"/>
        <w:rPr>
          <w:rFonts w:ascii="Times New Roman" w:hAnsi="Times New Roman" w:cs="Times New Roman"/>
          <w:b/>
          <w:bCs/>
          <w:color w:val="auto"/>
        </w:rPr>
      </w:pPr>
      <w:r w:rsidRPr="0033135E">
        <w:rPr>
          <w:rFonts w:ascii="Times New Roman" w:hAnsi="Times New Roman" w:cs="Times New Roman"/>
          <w:b/>
          <w:bCs/>
          <w:color w:val="auto"/>
        </w:rPr>
        <w:t>a)</w:t>
      </w:r>
      <w:r w:rsidRPr="0033135E">
        <w:rPr>
          <w:rFonts w:ascii="Times New Roman" w:hAnsi="Times New Roman" w:cs="Times New Roman"/>
          <w:b/>
          <w:bCs/>
          <w:color w:val="auto"/>
        </w:rPr>
        <w:tab/>
        <w:t xml:space="preserve">jsou klíčovými centry pro podporu výrobních kapacit technologií pro nulové čisté emise a jejich integraci do energetického systému a poskytují potenciál rozšíření, </w:t>
      </w:r>
      <w:proofErr w:type="spellStart"/>
      <w:r w:rsidRPr="0033135E">
        <w:rPr>
          <w:rFonts w:ascii="Times New Roman" w:hAnsi="Times New Roman" w:cs="Times New Roman"/>
          <w:b/>
          <w:bCs/>
          <w:color w:val="auto"/>
        </w:rPr>
        <w:t>reindustrializace</w:t>
      </w:r>
      <w:proofErr w:type="spellEnd"/>
      <w:r w:rsidRPr="0033135E">
        <w:rPr>
          <w:rFonts w:ascii="Times New Roman" w:hAnsi="Times New Roman" w:cs="Times New Roman"/>
          <w:b/>
          <w:bCs/>
          <w:color w:val="auto"/>
        </w:rPr>
        <w:t xml:space="preserve"> nebo vytvoření průmyslových klastrů, nebo</w:t>
      </w:r>
    </w:p>
    <w:p w14:paraId="03BAE28B" w14:textId="77777777" w:rsidR="0033135E" w:rsidRPr="0033135E" w:rsidRDefault="0033135E" w:rsidP="0033135E">
      <w:pPr>
        <w:spacing w:before="160" w:after="0"/>
        <w:jc w:val="both"/>
        <w:rPr>
          <w:rFonts w:ascii="Times New Roman" w:hAnsi="Times New Roman" w:cs="Times New Roman"/>
          <w:b/>
          <w:bCs/>
          <w:color w:val="auto"/>
        </w:rPr>
      </w:pPr>
      <w:r w:rsidRPr="0033135E">
        <w:rPr>
          <w:rFonts w:ascii="Times New Roman" w:hAnsi="Times New Roman" w:cs="Times New Roman"/>
          <w:b/>
          <w:bCs/>
          <w:color w:val="auto"/>
        </w:rPr>
        <w:t>b)</w:t>
      </w:r>
      <w:r w:rsidRPr="0033135E">
        <w:rPr>
          <w:rFonts w:ascii="Times New Roman" w:hAnsi="Times New Roman" w:cs="Times New Roman"/>
          <w:b/>
          <w:bCs/>
          <w:color w:val="auto"/>
        </w:rPr>
        <w:tab/>
        <w:t>významně přispívají k plnění cílů dekarbonizace průmyslových odvětví, regionální udržitelnosti a spravedlivé transformaci.</w:t>
      </w:r>
    </w:p>
    <w:p w14:paraId="3391A96E" w14:textId="77777777" w:rsidR="0033135E" w:rsidRPr="0033135E" w:rsidRDefault="0033135E" w:rsidP="0033135E">
      <w:pPr>
        <w:tabs>
          <w:tab w:val="left" w:pos="1134"/>
        </w:tabs>
        <w:spacing w:before="160" w:after="0"/>
        <w:ind w:firstLine="567"/>
        <w:jc w:val="both"/>
        <w:rPr>
          <w:rFonts w:ascii="Times New Roman" w:hAnsi="Times New Roman" w:cs="Times New Roman"/>
          <w:b/>
          <w:bCs/>
          <w:color w:val="auto"/>
        </w:rPr>
      </w:pPr>
      <w:r w:rsidRPr="0033135E">
        <w:rPr>
          <w:rFonts w:ascii="Times New Roman" w:hAnsi="Times New Roman" w:cs="Times New Roman"/>
          <w:b/>
          <w:bCs/>
          <w:color w:val="auto"/>
        </w:rPr>
        <w:lastRenderedPageBreak/>
        <w:t>(2)</w:t>
      </w:r>
      <w:r w:rsidRPr="0033135E">
        <w:rPr>
          <w:rFonts w:ascii="Times New Roman" w:hAnsi="Times New Roman" w:cs="Times New Roman"/>
          <w:b/>
          <w:bCs/>
          <w:color w:val="auto"/>
        </w:rPr>
        <w:tab/>
        <w:t>Oblasti určené jako údolí stanoví vláda nařízením, kde stanoví hranice těchto oblastí a pro každou z nich uvede</w:t>
      </w:r>
    </w:p>
    <w:p w14:paraId="761DA242" w14:textId="77777777" w:rsidR="0033135E" w:rsidRPr="0033135E" w:rsidRDefault="0033135E" w:rsidP="0033135E">
      <w:pPr>
        <w:spacing w:before="160" w:after="0"/>
        <w:jc w:val="both"/>
        <w:rPr>
          <w:rFonts w:ascii="Times New Roman" w:hAnsi="Times New Roman" w:cs="Times New Roman"/>
          <w:b/>
          <w:bCs/>
          <w:color w:val="auto"/>
        </w:rPr>
      </w:pPr>
      <w:r w:rsidRPr="0033135E">
        <w:rPr>
          <w:rFonts w:ascii="Times New Roman" w:hAnsi="Times New Roman" w:cs="Times New Roman"/>
          <w:b/>
          <w:bCs/>
          <w:color w:val="auto"/>
        </w:rPr>
        <w:t>a)</w:t>
      </w:r>
      <w:r w:rsidRPr="0033135E">
        <w:rPr>
          <w:rFonts w:ascii="Times New Roman" w:hAnsi="Times New Roman" w:cs="Times New Roman"/>
          <w:b/>
          <w:bCs/>
          <w:color w:val="auto"/>
        </w:rPr>
        <w:tab/>
        <w:t>název oblasti, její geografickou polohu včetně mapového zobrazení a její rozlohu,</w:t>
      </w:r>
    </w:p>
    <w:p w14:paraId="69E6B67F" w14:textId="77777777" w:rsidR="0033135E" w:rsidRPr="0033135E" w:rsidRDefault="0033135E" w:rsidP="0033135E">
      <w:pPr>
        <w:spacing w:before="160" w:after="0"/>
        <w:jc w:val="both"/>
        <w:rPr>
          <w:rFonts w:ascii="Times New Roman" w:hAnsi="Times New Roman" w:cs="Times New Roman"/>
          <w:b/>
          <w:bCs/>
          <w:color w:val="auto"/>
        </w:rPr>
      </w:pPr>
      <w:r w:rsidRPr="0033135E">
        <w:rPr>
          <w:rFonts w:ascii="Times New Roman" w:hAnsi="Times New Roman" w:cs="Times New Roman"/>
          <w:b/>
          <w:bCs/>
          <w:color w:val="auto"/>
        </w:rPr>
        <w:t>b)</w:t>
      </w:r>
      <w:r w:rsidRPr="0033135E">
        <w:rPr>
          <w:rFonts w:ascii="Times New Roman" w:hAnsi="Times New Roman" w:cs="Times New Roman"/>
          <w:b/>
          <w:bCs/>
          <w:color w:val="auto"/>
        </w:rPr>
        <w:tab/>
        <w:t>technologický rozsah oblasti,</w:t>
      </w:r>
    </w:p>
    <w:p w14:paraId="52F419C0" w14:textId="77777777" w:rsidR="0033135E" w:rsidRPr="0033135E" w:rsidRDefault="0033135E" w:rsidP="0033135E">
      <w:pPr>
        <w:spacing w:before="160" w:after="0"/>
        <w:jc w:val="both"/>
        <w:rPr>
          <w:rFonts w:ascii="Times New Roman" w:hAnsi="Times New Roman" w:cs="Times New Roman"/>
          <w:b/>
          <w:bCs/>
          <w:color w:val="auto"/>
        </w:rPr>
      </w:pPr>
      <w:r w:rsidRPr="0033135E">
        <w:rPr>
          <w:rFonts w:ascii="Times New Roman" w:hAnsi="Times New Roman" w:cs="Times New Roman"/>
          <w:b/>
          <w:bCs/>
          <w:color w:val="auto"/>
        </w:rPr>
        <w:t>c)</w:t>
      </w:r>
      <w:r w:rsidRPr="0033135E">
        <w:rPr>
          <w:rFonts w:ascii="Times New Roman" w:hAnsi="Times New Roman" w:cs="Times New Roman"/>
          <w:b/>
          <w:bCs/>
          <w:color w:val="auto"/>
        </w:rPr>
        <w:tab/>
        <w:t>konkrétní opatření ke zvýšení atraktivity oblasti jako místa pro výrobní činnosti a</w:t>
      </w:r>
    </w:p>
    <w:p w14:paraId="798CBF00" w14:textId="77777777" w:rsidR="0033135E" w:rsidRPr="0033135E" w:rsidRDefault="0033135E" w:rsidP="0033135E">
      <w:pPr>
        <w:spacing w:before="160" w:after="0"/>
        <w:jc w:val="both"/>
        <w:rPr>
          <w:rFonts w:ascii="Times New Roman" w:hAnsi="Times New Roman" w:cs="Times New Roman"/>
          <w:b/>
          <w:bCs/>
          <w:color w:val="auto"/>
        </w:rPr>
      </w:pPr>
      <w:r w:rsidRPr="0033135E">
        <w:rPr>
          <w:rFonts w:ascii="Times New Roman" w:hAnsi="Times New Roman" w:cs="Times New Roman"/>
          <w:b/>
          <w:bCs/>
          <w:color w:val="auto"/>
        </w:rPr>
        <w:t>d)</w:t>
      </w:r>
      <w:r w:rsidRPr="0033135E">
        <w:rPr>
          <w:rFonts w:ascii="Times New Roman" w:hAnsi="Times New Roman" w:cs="Times New Roman"/>
          <w:b/>
          <w:bCs/>
          <w:color w:val="auto"/>
        </w:rPr>
        <w:tab/>
        <w:t>strategické přínosy oblasti.</w:t>
      </w:r>
    </w:p>
    <w:p w14:paraId="2788648E" w14:textId="77777777" w:rsidR="0033135E" w:rsidRPr="0033135E" w:rsidRDefault="0033135E" w:rsidP="0033135E">
      <w:pPr>
        <w:tabs>
          <w:tab w:val="left" w:pos="1134"/>
        </w:tabs>
        <w:spacing w:before="160" w:after="0"/>
        <w:ind w:firstLine="567"/>
        <w:jc w:val="both"/>
        <w:rPr>
          <w:rFonts w:ascii="Times New Roman" w:hAnsi="Times New Roman" w:cs="Times New Roman"/>
          <w:b/>
          <w:bCs/>
          <w:color w:val="auto"/>
        </w:rPr>
      </w:pPr>
      <w:r w:rsidRPr="0033135E">
        <w:rPr>
          <w:rFonts w:ascii="Times New Roman" w:hAnsi="Times New Roman" w:cs="Times New Roman"/>
          <w:b/>
          <w:bCs/>
          <w:color w:val="auto"/>
        </w:rPr>
        <w:t>(3)</w:t>
      </w:r>
      <w:r w:rsidRPr="0033135E">
        <w:rPr>
          <w:rFonts w:ascii="Times New Roman" w:hAnsi="Times New Roman" w:cs="Times New Roman"/>
          <w:b/>
          <w:bCs/>
          <w:color w:val="auto"/>
        </w:rPr>
        <w:tab/>
        <w:t>Přijetí rozhodnutí o určení oblasti jako údolí může být učiněno pouze v případě, že byly splněny podmínky uvedené v nařízení Evropského parlamentu a Rady (EU) 2024/1735.</w:t>
      </w:r>
    </w:p>
    <w:p w14:paraId="34644302" w14:textId="056B84C3" w:rsidR="00A17C67" w:rsidRDefault="00A17C67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08D0E8F0" w14:textId="5184E639" w:rsidR="00A17C67" w:rsidRDefault="00A17C67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72810AE5" w14:textId="5B8BEC80" w:rsidR="00A17C67" w:rsidRDefault="00A17C67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4E9C87B6" w14:textId="55FF7932" w:rsidR="00A17C67" w:rsidRDefault="00A17C67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44D95612" w14:textId="60C7C163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6A52CC6D" w14:textId="05796D29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1E5D5F2A" w14:textId="7F189A9B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6DF03008" w14:textId="326F8956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7BF46767" w14:textId="6A2FDF57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4997EF70" w14:textId="64C96591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1D4A4943" w14:textId="45E96429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25B4440D" w14:textId="0FA36152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09D93BEB" w14:textId="6DDC5187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383099DC" w14:textId="3B8B6377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6D739E33" w14:textId="0788FFCB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2DC9CC90" w14:textId="31B98488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351E358A" w14:textId="62F8CAB2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7D84E727" w14:textId="6EA4B0DC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3F21E521" w14:textId="125FEA8C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04B5C23F" w14:textId="4BE9A601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5D925A44" w14:textId="529DBDBD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0884F01A" w14:textId="6EFBD342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4DE4858F" w14:textId="77777777" w:rsidR="008203C1" w:rsidRDefault="008203C1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6D631C85" w14:textId="0E4A1354" w:rsidR="00A17C67" w:rsidRDefault="00A17C67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</w:p>
    <w:p w14:paraId="1443A432" w14:textId="750CF607" w:rsidR="00A252D9" w:rsidRPr="00A17C67" w:rsidRDefault="00A252D9" w:rsidP="00A252D9">
      <w:pPr>
        <w:jc w:val="both"/>
        <w:rPr>
          <w:rFonts w:ascii="Times New Roman" w:hAnsi="Times New Roman" w:cs="Times New Roman"/>
          <w:b/>
          <w:bCs/>
          <w:color w:val="auto"/>
        </w:rPr>
      </w:pPr>
      <w:r w:rsidRPr="00A17C67">
        <w:rPr>
          <w:rFonts w:ascii="Times New Roman" w:hAnsi="Times New Roman" w:cs="Times New Roman"/>
          <w:b/>
          <w:bCs/>
          <w:color w:val="auto"/>
        </w:rPr>
        <w:lastRenderedPageBreak/>
        <w:t>Zákon č. 283/2021 Sb., stavební zákon, ve znění pozdějších předpisů</w:t>
      </w:r>
    </w:p>
    <w:p w14:paraId="0B068489" w14:textId="49D352CE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>§ 34</w:t>
      </w:r>
    </w:p>
    <w:p w14:paraId="14172163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6688D7C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17C67">
        <w:rPr>
          <w:rFonts w:ascii="Times New Roman" w:hAnsi="Times New Roman" w:cs="Times New Roman"/>
          <w:b/>
          <w:bCs/>
        </w:rPr>
        <w:t xml:space="preserve">Krajský stavební úřad </w:t>
      </w:r>
    </w:p>
    <w:p w14:paraId="0408A292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A516A51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ab/>
        <w:t xml:space="preserve">Krajský stavební úřad </w:t>
      </w:r>
    </w:p>
    <w:p w14:paraId="006896DF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47709CA3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a) vykonává působnost stavebního úřadu ve věcech </w:t>
      </w:r>
    </w:p>
    <w:p w14:paraId="4635F8D3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1. záměrů EIA, </w:t>
      </w:r>
    </w:p>
    <w:p w14:paraId="1F979630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2. silnic I. třídy, </w:t>
      </w:r>
    </w:p>
    <w:p w14:paraId="1569799F" w14:textId="1DDCAEE5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>3. výroben z obnovitelných zdrojů energie neuvedených v</w:t>
      </w:r>
      <w:r w:rsidRPr="00A17C67">
        <w:rPr>
          <w:rFonts w:ascii="Times New Roman" w:hAnsi="Times New Roman" w:cs="Times New Roman"/>
          <w:color w:val="auto"/>
        </w:rPr>
        <w:t xml:space="preserve"> příloze č. 3 k tom</w:t>
      </w:r>
      <w:r w:rsidRPr="00A17C67">
        <w:rPr>
          <w:rFonts w:ascii="Times New Roman" w:hAnsi="Times New Roman" w:cs="Times New Roman"/>
        </w:rPr>
        <w:t xml:space="preserve">uto zákonu, </w:t>
      </w:r>
    </w:p>
    <w:p w14:paraId="0A6B757F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4. vodních děl na hraničních vodách, </w:t>
      </w:r>
    </w:p>
    <w:p w14:paraId="57874D78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5. čistíren odpadních vod sloužících k vypouštění odpadních vod do vod povrchových ze zdrojů znečištění o velikosti 10 000 ekvivalentních obyvatel nebo více, </w:t>
      </w:r>
    </w:p>
    <w:p w14:paraId="7CB3E79B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>6. vodních nádrží s celkovým objemem nad 1 000 000 m</w:t>
      </w:r>
      <w:r w:rsidRPr="00A17C67">
        <w:rPr>
          <w:rFonts w:ascii="Times New Roman" w:hAnsi="Times New Roman" w:cs="Times New Roman"/>
          <w:vertAlign w:val="superscript"/>
        </w:rPr>
        <w:t>3</w:t>
      </w:r>
      <w:r w:rsidRPr="00A17C67">
        <w:rPr>
          <w:rFonts w:ascii="Times New Roman" w:hAnsi="Times New Roman" w:cs="Times New Roman"/>
        </w:rPr>
        <w:t xml:space="preserve"> nebo s výškou vzdutí nad 10 m ode dna základové výpusti, </w:t>
      </w:r>
    </w:p>
    <w:p w14:paraId="1CC91E8C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7. vodních děl sloužících k vypouštění odpadních vod z těžby a zpracování uranových rud a jaderných elektráren a odpadních vod s obsahem zvlášť nebezpečných závadných nebo nebezpečných závadných látek do vod povrchových a k vypouštění odpadních vod s obsahem zvlášť nebezpečné závadné látky nebo prioritní nebezpečné látky do kanalizace s výjimkou případů, kdy je instalováno zařízení s dostatečnou účinností podle jiného právního předpisu, </w:t>
      </w:r>
    </w:p>
    <w:p w14:paraId="6AA59070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8. vodních děl sloužících k čerpání znečištěných podzemních vod za účelem snížení jejich znečištění a jejich následné vypouštění do těchto vod, popřípadě do vod povrchových, </w:t>
      </w:r>
    </w:p>
    <w:p w14:paraId="6CA2FFA3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9. staveb a zařízení distribuční soustavy o napětí 110 </w:t>
      </w:r>
      <w:proofErr w:type="spellStart"/>
      <w:r w:rsidRPr="00A17C67">
        <w:rPr>
          <w:rFonts w:ascii="Times New Roman" w:hAnsi="Times New Roman" w:cs="Times New Roman"/>
        </w:rPr>
        <w:t>kV</w:t>
      </w:r>
      <w:proofErr w:type="spellEnd"/>
      <w:r w:rsidRPr="00A17C67">
        <w:rPr>
          <w:rFonts w:ascii="Times New Roman" w:hAnsi="Times New Roman" w:cs="Times New Roman"/>
        </w:rPr>
        <w:t xml:space="preserve"> včetně transformovny 110 </w:t>
      </w:r>
      <w:proofErr w:type="spellStart"/>
      <w:r w:rsidRPr="00A17C67">
        <w:rPr>
          <w:rFonts w:ascii="Times New Roman" w:hAnsi="Times New Roman" w:cs="Times New Roman"/>
        </w:rPr>
        <w:t>kV</w:t>
      </w:r>
      <w:proofErr w:type="spellEnd"/>
      <w:r w:rsidRPr="00A17C67">
        <w:rPr>
          <w:rFonts w:ascii="Times New Roman" w:hAnsi="Times New Roman" w:cs="Times New Roman"/>
        </w:rPr>
        <w:t xml:space="preserve">, </w:t>
      </w:r>
    </w:p>
    <w:p w14:paraId="44360015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10. staveb a zařízení distribuční soustavy plynu o tlakové hladině 4 až 40 barů včetně souvisejících technologických objektů, </w:t>
      </w:r>
    </w:p>
    <w:p w14:paraId="66AE06CF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u kterých nevykonává působnost Dopravní a energetický stavební úřad nebo jiný stavební úřad, </w:t>
      </w:r>
    </w:p>
    <w:p w14:paraId="3D482398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17C67">
        <w:rPr>
          <w:rFonts w:ascii="Times New Roman" w:hAnsi="Times New Roman" w:cs="Times New Roman"/>
        </w:rPr>
        <w:t xml:space="preserve"> </w:t>
      </w:r>
    </w:p>
    <w:p w14:paraId="576D4E12" w14:textId="230D4554" w:rsidR="00A252D9" w:rsidRPr="00A17C67" w:rsidRDefault="00692C10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11. </w:t>
      </w:r>
      <w:r w:rsidR="0033135E" w:rsidRPr="0033135E">
        <w:rPr>
          <w:rFonts w:ascii="Times New Roman" w:hAnsi="Times New Roman" w:cs="Times New Roman"/>
          <w:b/>
          <w:bCs/>
          <w:color w:val="auto"/>
        </w:rPr>
        <w:t>stavby, ve kterých mají být uskutečňovány činnosti výrob technologií a komponent pro nulové čisté emise uvedené v příloze I k nařízení Evropského parlamentu a Rady (EU) 2024/1735 a staveb energeticky náročného zařízení nebo jejich změn z odvětví výroby oceli, hliníku, neželezných kovů, chemických látek, cementu, vápna, skla, keramiky, hnojiv, jakož i celulózy a papíru, které jsou součástí dodavatelského řetězce technologie pro nulové čisté emise a které mají výrazně a trvale snížit míry emisí ekvivalentu oxidu uhličitého z průmyslových procesů, u kterých nevykonává působnost Dopravní a energetický stavební úřad</w:t>
      </w:r>
      <w:r w:rsidR="00A105AD">
        <w:rPr>
          <w:rFonts w:ascii="Times New Roman" w:hAnsi="Times New Roman" w:cs="Times New Roman"/>
          <w:b/>
          <w:bCs/>
          <w:color w:val="auto"/>
        </w:rPr>
        <w:t>.</w:t>
      </w:r>
    </w:p>
    <w:p w14:paraId="4B193092" w14:textId="77777777" w:rsidR="00A252D9" w:rsidRPr="00A17C67" w:rsidRDefault="00A252D9" w:rsidP="00A25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441B2A4" w14:textId="77777777" w:rsidR="00A252D9" w:rsidRPr="00A17C67" w:rsidRDefault="00A252D9" w:rsidP="00A252D9">
      <w:pPr>
        <w:jc w:val="both"/>
        <w:rPr>
          <w:rFonts w:ascii="Times New Roman" w:hAnsi="Times New Roman" w:cs="Times New Roman"/>
          <w:b/>
          <w:bCs/>
        </w:rPr>
      </w:pPr>
    </w:p>
    <w:sectPr w:rsidR="00A252D9" w:rsidRPr="00A17C67" w:rsidSect="00CC5E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DA99A" w14:textId="77777777" w:rsidR="00694292" w:rsidRDefault="00694292" w:rsidP="00677FE0">
      <w:pPr>
        <w:spacing w:after="0" w:line="240" w:lineRule="auto"/>
      </w:pPr>
      <w:r>
        <w:separator/>
      </w:r>
    </w:p>
  </w:endnote>
  <w:endnote w:type="continuationSeparator" w:id="0">
    <w:p w14:paraId="62AB7F7E" w14:textId="77777777" w:rsidR="00694292" w:rsidRDefault="00694292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0DFA5" w14:textId="77777777" w:rsidR="00B301D2" w:rsidRDefault="00B301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90A53" w14:textId="77777777" w:rsidR="00B301D2" w:rsidRDefault="00B301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06D3" w14:textId="77777777" w:rsidR="00B301D2" w:rsidRDefault="00B30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1BA5F" w14:textId="77777777" w:rsidR="00694292" w:rsidRDefault="00694292" w:rsidP="00677FE0">
      <w:pPr>
        <w:spacing w:after="0" w:line="240" w:lineRule="auto"/>
      </w:pPr>
      <w:r>
        <w:separator/>
      </w:r>
    </w:p>
  </w:footnote>
  <w:footnote w:type="continuationSeparator" w:id="0">
    <w:p w14:paraId="09BB9DDF" w14:textId="77777777" w:rsidR="00694292" w:rsidRDefault="00694292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29F66" w14:textId="77777777" w:rsidR="00B301D2" w:rsidRDefault="00B301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alias w:val="Název"/>
      <w:tag w:val=""/>
      <w:id w:val="1116400235"/>
      <w:placeholder>
        <w:docPart w:val="5E24004C614C43CCAF9C4A021082FC0A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00B0066" w14:textId="6E7DF4C2" w:rsidR="00B301D2" w:rsidRPr="00B301D2" w:rsidRDefault="00B301D2">
        <w:pPr>
          <w:pStyle w:val="Zhlav"/>
          <w:jc w:val="right"/>
          <w:rPr>
            <w:sz w:val="24"/>
            <w:szCs w:val="24"/>
          </w:rPr>
        </w:pPr>
        <w:r w:rsidRPr="00B301D2">
          <w:rPr>
            <w:sz w:val="24"/>
            <w:szCs w:val="24"/>
          </w:rPr>
          <w:t>VII.</w:t>
        </w:r>
      </w:p>
    </w:sdtContent>
  </w:sdt>
  <w:p w14:paraId="55AD06AB" w14:textId="77777777"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4189A" w14:textId="77777777" w:rsidR="00B301D2" w:rsidRDefault="00B301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3" w15:restartNumberingAfterBreak="0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2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31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0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7"/>
  </w:num>
  <w:num w:numId="27">
    <w:abstractNumId w:val="25"/>
  </w:num>
  <w:num w:numId="28">
    <w:abstractNumId w:val="24"/>
  </w:num>
  <w:num w:numId="29">
    <w:abstractNumId w:val="18"/>
  </w:num>
  <w:num w:numId="30">
    <w:abstractNumId w:val="29"/>
  </w:num>
  <w:num w:numId="31">
    <w:abstractNumId w:val="33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2D9"/>
    <w:rsid w:val="00015306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121485"/>
    <w:rsid w:val="001268B0"/>
    <w:rsid w:val="0018051B"/>
    <w:rsid w:val="001B1E4A"/>
    <w:rsid w:val="001D27C0"/>
    <w:rsid w:val="001E74C3"/>
    <w:rsid w:val="001F6937"/>
    <w:rsid w:val="00220DE3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3135E"/>
    <w:rsid w:val="003630BB"/>
    <w:rsid w:val="00363201"/>
    <w:rsid w:val="0039063C"/>
    <w:rsid w:val="003A46A8"/>
    <w:rsid w:val="003A51AA"/>
    <w:rsid w:val="003B565A"/>
    <w:rsid w:val="003D00A1"/>
    <w:rsid w:val="0041427F"/>
    <w:rsid w:val="004509E5"/>
    <w:rsid w:val="00486FB9"/>
    <w:rsid w:val="004C212A"/>
    <w:rsid w:val="00500232"/>
    <w:rsid w:val="00504668"/>
    <w:rsid w:val="005455E1"/>
    <w:rsid w:val="005502BD"/>
    <w:rsid w:val="00556787"/>
    <w:rsid w:val="00582276"/>
    <w:rsid w:val="005C2560"/>
    <w:rsid w:val="005F7585"/>
    <w:rsid w:val="00605759"/>
    <w:rsid w:val="00650C6C"/>
    <w:rsid w:val="00652FE6"/>
    <w:rsid w:val="00667898"/>
    <w:rsid w:val="00677FE0"/>
    <w:rsid w:val="00692C10"/>
    <w:rsid w:val="00694292"/>
    <w:rsid w:val="006D04EF"/>
    <w:rsid w:val="006E2FB0"/>
    <w:rsid w:val="007102D2"/>
    <w:rsid w:val="00713948"/>
    <w:rsid w:val="00753A27"/>
    <w:rsid w:val="0079342A"/>
    <w:rsid w:val="007B4949"/>
    <w:rsid w:val="007E7D1E"/>
    <w:rsid w:val="007F0BC6"/>
    <w:rsid w:val="008203C1"/>
    <w:rsid w:val="00831374"/>
    <w:rsid w:val="00857580"/>
    <w:rsid w:val="00865238"/>
    <w:rsid w:val="008667BF"/>
    <w:rsid w:val="00895645"/>
    <w:rsid w:val="008A7851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105AD"/>
    <w:rsid w:val="00A17C67"/>
    <w:rsid w:val="00A252D9"/>
    <w:rsid w:val="00A275BC"/>
    <w:rsid w:val="00A464B4"/>
    <w:rsid w:val="00A63D6B"/>
    <w:rsid w:val="00A84B52"/>
    <w:rsid w:val="00A8660F"/>
    <w:rsid w:val="00A95C48"/>
    <w:rsid w:val="00AA6C6A"/>
    <w:rsid w:val="00AA7056"/>
    <w:rsid w:val="00AB31C6"/>
    <w:rsid w:val="00AB523B"/>
    <w:rsid w:val="00AD7E40"/>
    <w:rsid w:val="00B1477A"/>
    <w:rsid w:val="00B20993"/>
    <w:rsid w:val="00B26D30"/>
    <w:rsid w:val="00B301D2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C5E40"/>
    <w:rsid w:val="00D1569F"/>
    <w:rsid w:val="00D20B1E"/>
    <w:rsid w:val="00D22462"/>
    <w:rsid w:val="00D230AC"/>
    <w:rsid w:val="00D32489"/>
    <w:rsid w:val="00D3349E"/>
    <w:rsid w:val="00D71D22"/>
    <w:rsid w:val="00D73CB8"/>
    <w:rsid w:val="00DA7591"/>
    <w:rsid w:val="00E32798"/>
    <w:rsid w:val="00E33CC8"/>
    <w:rsid w:val="00E51C91"/>
    <w:rsid w:val="00E667C1"/>
    <w:rsid w:val="00EC3F88"/>
    <w:rsid w:val="00ED36D8"/>
    <w:rsid w:val="00EE6BD7"/>
    <w:rsid w:val="00F0689D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89223D"/>
  <w15:chartTrackingRefBased/>
  <w15:docId w15:val="{699555E0-74D0-475B-ADC1-7B1DBBE6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EU'&amp;link='32021L1187%2523'&amp;ucin-k-dni='30.12.9999'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aspi://module='ASPI'&amp;link='100/2001%20Sb.%25234'&amp;ucin-k-dni='30.12.9999'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E24004C614C43CCAF9C4A021082FC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C6B33C-8311-43B5-A1EB-A32C7363F665}"/>
      </w:docPartPr>
      <w:docPartBody>
        <w:p w:rsidR="00447434" w:rsidRDefault="0093093A" w:rsidP="0093093A">
          <w:pPr>
            <w:pStyle w:val="5E24004C614C43CCAF9C4A021082FC0A"/>
          </w:pPr>
          <w:r>
            <w:rPr>
              <w:color w:val="7F7F7F" w:themeColor="text1" w:themeTint="80"/>
            </w:rPr>
            <w:t>[Název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93A"/>
    <w:rsid w:val="00447434"/>
    <w:rsid w:val="0093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5E24004C614C43CCAF9C4A021082FC0A">
    <w:name w:val="5E24004C614C43CCAF9C4A021082FC0A"/>
    <w:rsid w:val="009309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2438</Words>
  <Characters>14389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VII.</dc:title>
  <dc:subject/>
  <dc:creator>Budinský Jan</dc:creator>
  <cp:keywords/>
  <dc:description/>
  <cp:lastModifiedBy>Havlice Viktor</cp:lastModifiedBy>
  <cp:revision>7</cp:revision>
  <dcterms:created xsi:type="dcterms:W3CDTF">2025-02-19T17:50:00Z</dcterms:created>
  <dcterms:modified xsi:type="dcterms:W3CDTF">2025-02-20T06:28:00Z</dcterms:modified>
</cp:coreProperties>
</file>