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22C99" w14:textId="0A856EAC" w:rsidR="000F4AD7" w:rsidRPr="005E2D2A" w:rsidRDefault="0049552B" w:rsidP="00BC13C9">
      <w:pPr>
        <w:spacing w:line="360" w:lineRule="auto"/>
        <w:jc w:val="right"/>
        <w:rPr>
          <w:rFonts w:ascii="Arial" w:hAnsi="Arial" w:cs="Arial"/>
          <w:b/>
          <w:sz w:val="28"/>
          <w:szCs w:val="28"/>
        </w:rPr>
      </w:pPr>
      <w:r>
        <w:rPr>
          <w:rFonts w:ascii="Arial" w:hAnsi="Arial" w:cs="Arial"/>
          <w:b/>
          <w:sz w:val="28"/>
          <w:szCs w:val="28"/>
        </w:rPr>
        <w:t>IV</w:t>
      </w:r>
      <w:bookmarkStart w:id="0" w:name="_GoBack"/>
      <w:bookmarkEnd w:id="0"/>
      <w:r w:rsidR="00BC13C9" w:rsidRPr="005E2D2A">
        <w:rPr>
          <w:rFonts w:ascii="Arial" w:hAnsi="Arial" w:cs="Arial"/>
          <w:b/>
          <w:sz w:val="28"/>
          <w:szCs w:val="28"/>
        </w:rPr>
        <w:t>.</w:t>
      </w:r>
    </w:p>
    <w:p w14:paraId="1765C78B" w14:textId="77777777" w:rsidR="000F4AD7" w:rsidRPr="00EA3CEC" w:rsidRDefault="000F4AD7" w:rsidP="00BC13C9">
      <w:pPr>
        <w:spacing w:line="276" w:lineRule="auto"/>
        <w:jc w:val="center"/>
        <w:outlineLvl w:val="8"/>
        <w:rPr>
          <w:rFonts w:ascii="Arial" w:hAnsi="Arial" w:cs="Arial"/>
          <w:b/>
          <w:caps/>
          <w:sz w:val="22"/>
          <w:szCs w:val="22"/>
          <w:u w:val="single"/>
        </w:rPr>
      </w:pPr>
      <w:r w:rsidRPr="00EA3CEC">
        <w:rPr>
          <w:rFonts w:ascii="Arial" w:hAnsi="Arial" w:cs="Arial"/>
          <w:b/>
          <w:caps/>
          <w:sz w:val="22"/>
          <w:szCs w:val="22"/>
          <w:u w:val="single"/>
        </w:rPr>
        <w:t>Závěrečná zpráva z hodnocení dopadů regulace (RIA)</w:t>
      </w:r>
    </w:p>
    <w:p w14:paraId="36A4F0CB" w14:textId="77777777" w:rsidR="000F4AD7" w:rsidRPr="00EA3CEC" w:rsidRDefault="000F4AD7" w:rsidP="000F4AD7">
      <w:pPr>
        <w:tabs>
          <w:tab w:val="left" w:pos="6660"/>
        </w:tabs>
        <w:rPr>
          <w:rFonts w:ascii="Arial" w:hAnsi="Arial" w:cs="Arial"/>
          <w:b/>
          <w:bCs/>
          <w:sz w:val="22"/>
          <w:szCs w:val="22"/>
        </w:rPr>
      </w:pPr>
    </w:p>
    <w:p w14:paraId="70B678A8" w14:textId="77777777" w:rsidR="000F4AD7" w:rsidRPr="00EA3CEC" w:rsidRDefault="000F4AD7" w:rsidP="000F4AD7">
      <w:pPr>
        <w:tabs>
          <w:tab w:val="left" w:pos="6660"/>
        </w:tabs>
        <w:rPr>
          <w:rFonts w:ascii="Arial" w:hAnsi="Arial" w:cs="Arial"/>
          <w:b/>
          <w:bCs/>
          <w:sz w:val="22"/>
          <w:szCs w:val="22"/>
        </w:rPr>
      </w:pPr>
      <w:r w:rsidRPr="00EA3CEC">
        <w:rPr>
          <w:rFonts w:ascii="Arial" w:hAnsi="Arial" w:cs="Arial"/>
          <w:b/>
          <w:bCs/>
          <w:sz w:val="22"/>
          <w:szCs w:val="22"/>
        </w:rPr>
        <w:t>SHRNUTÍ ZÁVĚREČNÉ ZPRÁVY RIA</w:t>
      </w:r>
    </w:p>
    <w:tbl>
      <w:tblPr>
        <w:tblW w:w="9648" w:type="dxa"/>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Look w:val="00A0" w:firstRow="1" w:lastRow="0" w:firstColumn="1" w:lastColumn="0" w:noHBand="0" w:noVBand="0"/>
      </w:tblPr>
      <w:tblGrid>
        <w:gridCol w:w="4644"/>
        <w:gridCol w:w="5004"/>
      </w:tblGrid>
      <w:tr w:rsidR="00E87502" w:rsidRPr="00E87502" w14:paraId="5C17933D" w14:textId="77777777" w:rsidTr="006A514C">
        <w:trPr>
          <w:trHeight w:val="187"/>
          <w:jc w:val="center"/>
        </w:trPr>
        <w:tc>
          <w:tcPr>
            <w:tcW w:w="9648" w:type="dxa"/>
            <w:gridSpan w:val="2"/>
            <w:tcBorders>
              <w:top w:val="single" w:sz="12" w:space="0" w:color="000000"/>
              <w:left w:val="single" w:sz="12" w:space="0" w:color="000000"/>
              <w:bottom w:val="single" w:sz="4" w:space="0" w:color="auto"/>
              <w:right w:val="single" w:sz="12" w:space="0" w:color="000000"/>
            </w:tcBorders>
            <w:shd w:val="clear" w:color="auto" w:fill="D6E3BC" w:themeFill="accent3" w:themeFillTint="66"/>
            <w:vAlign w:val="bottom"/>
          </w:tcPr>
          <w:p w14:paraId="233FA7DD" w14:textId="77777777" w:rsidR="000F4AD7" w:rsidRPr="00E87502" w:rsidRDefault="000F4AD7" w:rsidP="003100E0">
            <w:pPr>
              <w:tabs>
                <w:tab w:val="left" w:pos="6660"/>
              </w:tabs>
              <w:rPr>
                <w:rFonts w:ascii="Arial" w:hAnsi="Arial" w:cs="Arial"/>
                <w:b/>
                <w:bCs/>
                <w:i/>
                <w:iCs/>
                <w:sz w:val="22"/>
                <w:szCs w:val="22"/>
              </w:rPr>
            </w:pPr>
            <w:r w:rsidRPr="00E87502">
              <w:rPr>
                <w:rFonts w:ascii="Arial" w:hAnsi="Arial" w:cs="Arial"/>
                <w:b/>
                <w:bCs/>
                <w:sz w:val="22"/>
                <w:szCs w:val="22"/>
              </w:rPr>
              <w:t>1. Základní identifikační údaje</w:t>
            </w:r>
          </w:p>
        </w:tc>
      </w:tr>
      <w:tr w:rsidR="00E87502" w:rsidRPr="00E87502" w14:paraId="1A62902E" w14:textId="77777777" w:rsidTr="003100E0">
        <w:trPr>
          <w:trHeight w:val="979"/>
          <w:jc w:val="center"/>
        </w:trPr>
        <w:tc>
          <w:tcPr>
            <w:tcW w:w="9648" w:type="dxa"/>
            <w:gridSpan w:val="2"/>
            <w:tcBorders>
              <w:top w:val="single" w:sz="4" w:space="0" w:color="auto"/>
              <w:left w:val="single" w:sz="12" w:space="0" w:color="000000"/>
              <w:bottom w:val="single" w:sz="4" w:space="0" w:color="auto"/>
              <w:right w:val="single" w:sz="12" w:space="0" w:color="000000"/>
            </w:tcBorders>
            <w:shd w:val="clear" w:color="auto" w:fill="auto"/>
            <w:vAlign w:val="center"/>
          </w:tcPr>
          <w:p w14:paraId="0F786FB8" w14:textId="60846401" w:rsidR="000F4AD7" w:rsidRPr="00E87502" w:rsidRDefault="000F4AD7" w:rsidP="009F5A57">
            <w:pPr>
              <w:jc w:val="both"/>
              <w:rPr>
                <w:rFonts w:ascii="Arial" w:hAnsi="Arial" w:cs="Arial"/>
                <w:sz w:val="22"/>
                <w:szCs w:val="22"/>
              </w:rPr>
            </w:pPr>
            <w:r w:rsidRPr="00E87502">
              <w:rPr>
                <w:rFonts w:ascii="Arial" w:hAnsi="Arial" w:cs="Arial"/>
                <w:b/>
                <w:bCs/>
                <w:sz w:val="22"/>
                <w:szCs w:val="22"/>
              </w:rPr>
              <w:t xml:space="preserve">Název návrhu: </w:t>
            </w:r>
            <w:r w:rsidR="003670AC">
              <w:rPr>
                <w:rFonts w:ascii="Arial" w:hAnsi="Arial" w:cs="Arial"/>
                <w:sz w:val="22"/>
                <w:szCs w:val="22"/>
              </w:rPr>
              <w:t>V</w:t>
            </w:r>
            <w:r w:rsidR="007D68CA" w:rsidRPr="00E87502">
              <w:rPr>
                <w:rFonts w:ascii="Arial" w:hAnsi="Arial" w:cs="Arial"/>
                <w:sz w:val="22"/>
                <w:szCs w:val="22"/>
              </w:rPr>
              <w:t xml:space="preserve">yhláška o </w:t>
            </w:r>
            <w:r w:rsidR="00E966FC">
              <w:rPr>
                <w:rFonts w:ascii="Arial" w:hAnsi="Arial" w:cs="Arial"/>
                <w:sz w:val="22"/>
                <w:szCs w:val="22"/>
              </w:rPr>
              <w:t>zárukách původu</w:t>
            </w:r>
            <w:r w:rsidR="001F043F">
              <w:rPr>
                <w:rFonts w:ascii="Arial" w:hAnsi="Arial" w:cs="Arial"/>
                <w:sz w:val="22"/>
                <w:szCs w:val="22"/>
              </w:rPr>
              <w:t xml:space="preserve"> energie</w:t>
            </w:r>
          </w:p>
        </w:tc>
      </w:tr>
      <w:tr w:rsidR="00E87502" w:rsidRPr="00E87502" w14:paraId="3A3C3B55" w14:textId="77777777" w:rsidTr="003100E0">
        <w:trPr>
          <w:trHeight w:val="979"/>
          <w:jc w:val="center"/>
        </w:trPr>
        <w:tc>
          <w:tcPr>
            <w:tcW w:w="4644" w:type="dxa"/>
            <w:tcBorders>
              <w:top w:val="single" w:sz="4" w:space="0" w:color="auto"/>
              <w:left w:val="single" w:sz="12" w:space="0" w:color="000000"/>
              <w:bottom w:val="single" w:sz="4" w:space="0" w:color="auto"/>
              <w:right w:val="single" w:sz="4" w:space="0" w:color="auto"/>
            </w:tcBorders>
            <w:shd w:val="clear" w:color="auto" w:fill="auto"/>
            <w:vAlign w:val="center"/>
          </w:tcPr>
          <w:p w14:paraId="5242003D" w14:textId="77777777" w:rsidR="000F4AD7" w:rsidRPr="00E87502" w:rsidRDefault="000F4AD7" w:rsidP="003100E0">
            <w:pPr>
              <w:tabs>
                <w:tab w:val="left" w:pos="6660"/>
              </w:tabs>
              <w:rPr>
                <w:rFonts w:ascii="Arial" w:hAnsi="Arial" w:cs="Arial"/>
                <w:b/>
                <w:bCs/>
                <w:sz w:val="22"/>
                <w:szCs w:val="22"/>
              </w:rPr>
            </w:pPr>
            <w:r w:rsidRPr="00E87502">
              <w:rPr>
                <w:rFonts w:ascii="Arial" w:hAnsi="Arial" w:cs="Arial"/>
                <w:b/>
                <w:bCs/>
                <w:sz w:val="22"/>
                <w:szCs w:val="22"/>
              </w:rPr>
              <w:t xml:space="preserve">Zpracovatel / zástupce předkladatele: </w:t>
            </w:r>
          </w:p>
          <w:p w14:paraId="49100198" w14:textId="77777777" w:rsidR="000F4AD7" w:rsidRPr="00E87502" w:rsidRDefault="000F4AD7" w:rsidP="003100E0">
            <w:pPr>
              <w:tabs>
                <w:tab w:val="left" w:pos="6660"/>
              </w:tabs>
              <w:rPr>
                <w:rFonts w:ascii="Arial" w:hAnsi="Arial" w:cs="Arial"/>
                <w:b/>
                <w:bCs/>
                <w:sz w:val="22"/>
                <w:szCs w:val="22"/>
                <w:u w:val="single"/>
              </w:rPr>
            </w:pPr>
            <w:r w:rsidRPr="00E87502">
              <w:rPr>
                <w:rFonts w:ascii="Arial" w:hAnsi="Arial" w:cs="Arial"/>
                <w:b/>
                <w:bCs/>
                <w:sz w:val="22"/>
                <w:szCs w:val="22"/>
              </w:rPr>
              <w:t xml:space="preserve">Ministerstvo průmyslu a obchodu </w:t>
            </w:r>
          </w:p>
        </w:tc>
        <w:tc>
          <w:tcPr>
            <w:tcW w:w="5004" w:type="dxa"/>
            <w:tcBorders>
              <w:top w:val="single" w:sz="4" w:space="0" w:color="auto"/>
              <w:left w:val="single" w:sz="4" w:space="0" w:color="auto"/>
              <w:bottom w:val="single" w:sz="4" w:space="0" w:color="auto"/>
              <w:right w:val="single" w:sz="12" w:space="0" w:color="000000"/>
            </w:tcBorders>
            <w:shd w:val="clear" w:color="auto" w:fill="auto"/>
            <w:vAlign w:val="center"/>
          </w:tcPr>
          <w:p w14:paraId="061A1178" w14:textId="77777777" w:rsidR="000F4AD7" w:rsidRPr="00E87502" w:rsidRDefault="000F4AD7" w:rsidP="003100E0">
            <w:pPr>
              <w:tabs>
                <w:tab w:val="left" w:pos="6660"/>
              </w:tabs>
              <w:rPr>
                <w:rFonts w:ascii="Arial" w:hAnsi="Arial" w:cs="Arial"/>
                <w:b/>
                <w:bCs/>
                <w:sz w:val="22"/>
                <w:szCs w:val="22"/>
              </w:rPr>
            </w:pPr>
            <w:r w:rsidRPr="00E87502">
              <w:rPr>
                <w:rFonts w:ascii="Arial" w:hAnsi="Arial" w:cs="Arial"/>
                <w:b/>
                <w:bCs/>
                <w:sz w:val="22"/>
                <w:szCs w:val="22"/>
              </w:rPr>
              <w:t>Předpokládaný termín nabytí účinnosti, v případě dělené účinnosti rozveďte</w:t>
            </w:r>
          </w:p>
          <w:p w14:paraId="311CD5A0" w14:textId="6611ABC8" w:rsidR="000F4AD7" w:rsidRPr="00723DBE" w:rsidRDefault="001B6820" w:rsidP="00723DBE">
            <w:pPr>
              <w:pStyle w:val="Odstavecseseznamem"/>
              <w:numPr>
                <w:ilvl w:val="0"/>
                <w:numId w:val="40"/>
              </w:numPr>
              <w:tabs>
                <w:tab w:val="left" w:pos="6660"/>
              </w:tabs>
              <w:rPr>
                <w:rFonts w:ascii="Arial" w:hAnsi="Arial" w:cs="Arial"/>
                <w:b/>
                <w:bCs/>
                <w:iCs/>
                <w:sz w:val="22"/>
                <w:szCs w:val="22"/>
              </w:rPr>
            </w:pPr>
            <w:r>
              <w:rPr>
                <w:rFonts w:ascii="Arial" w:hAnsi="Arial" w:cs="Arial"/>
              </w:rPr>
              <w:t>1. ledna 2023</w:t>
            </w:r>
          </w:p>
        </w:tc>
      </w:tr>
      <w:tr w:rsidR="00E87502" w:rsidRPr="00E87502" w14:paraId="76DEA683" w14:textId="77777777" w:rsidTr="003100E0">
        <w:tblPrEx>
          <w:tblBorders>
            <w:top w:val="single" w:sz="4" w:space="0" w:color="auto"/>
            <w:left w:val="single" w:sz="4" w:space="0" w:color="auto"/>
            <w:bottom w:val="single" w:sz="4" w:space="0" w:color="auto"/>
            <w:right w:val="single" w:sz="4" w:space="0" w:color="auto"/>
          </w:tblBorders>
        </w:tblPrEx>
        <w:trPr>
          <w:trHeight w:val="1080"/>
          <w:jc w:val="center"/>
        </w:trPr>
        <w:tc>
          <w:tcPr>
            <w:tcW w:w="9648" w:type="dxa"/>
            <w:gridSpan w:val="2"/>
            <w:tcBorders>
              <w:top w:val="single" w:sz="12" w:space="0" w:color="000000"/>
              <w:left w:val="single" w:sz="12" w:space="0" w:color="000000"/>
              <w:right w:val="single" w:sz="12" w:space="0" w:color="000000"/>
            </w:tcBorders>
            <w:shd w:val="clear" w:color="auto" w:fill="auto"/>
            <w:vAlign w:val="center"/>
          </w:tcPr>
          <w:p w14:paraId="33BD0E69" w14:textId="2F3B59B1" w:rsidR="000F4AD7" w:rsidRPr="00E87502" w:rsidRDefault="000F4AD7" w:rsidP="003100E0">
            <w:pPr>
              <w:tabs>
                <w:tab w:val="left" w:pos="6660"/>
              </w:tabs>
              <w:rPr>
                <w:rFonts w:ascii="Arial" w:hAnsi="Arial" w:cs="Arial"/>
                <w:b/>
                <w:bCs/>
                <w:i/>
                <w:iCs/>
                <w:sz w:val="22"/>
                <w:szCs w:val="22"/>
                <w:u w:val="single"/>
              </w:rPr>
            </w:pPr>
            <w:r w:rsidRPr="00E87502">
              <w:rPr>
                <w:rFonts w:ascii="Arial" w:hAnsi="Arial" w:cs="Arial"/>
                <w:b/>
                <w:bCs/>
                <w:sz w:val="22"/>
                <w:szCs w:val="22"/>
              </w:rPr>
              <w:t xml:space="preserve">Implementace práva EU: </w:t>
            </w:r>
            <w:r w:rsidR="001B6820" w:rsidRPr="00DB33C1">
              <w:rPr>
                <w:rFonts w:ascii="Arial" w:hAnsi="Arial" w:cs="Arial"/>
                <w:b/>
                <w:bCs/>
                <w:sz w:val="22"/>
                <w:szCs w:val="22"/>
              </w:rPr>
              <w:t>ANO</w:t>
            </w:r>
            <w:r w:rsidR="003528D2" w:rsidRPr="00723DBE">
              <w:rPr>
                <w:rFonts w:ascii="Arial" w:hAnsi="Arial" w:cs="Arial"/>
                <w:b/>
                <w:bCs/>
                <w:sz w:val="22"/>
                <w:szCs w:val="22"/>
              </w:rPr>
              <w:t xml:space="preserve"> </w:t>
            </w:r>
          </w:p>
        </w:tc>
      </w:tr>
      <w:tr w:rsidR="00E87502" w:rsidRPr="00E87502" w14:paraId="5A926FCA" w14:textId="77777777" w:rsidTr="006A514C">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56A6DDA9" w14:textId="77777777" w:rsidR="000F4AD7" w:rsidRPr="00E87502" w:rsidRDefault="000F4AD7" w:rsidP="003100E0">
            <w:pPr>
              <w:tabs>
                <w:tab w:val="left" w:pos="6660"/>
              </w:tabs>
              <w:rPr>
                <w:rFonts w:ascii="Arial" w:hAnsi="Arial" w:cs="Arial"/>
                <w:b/>
                <w:bCs/>
                <w:sz w:val="22"/>
                <w:szCs w:val="22"/>
              </w:rPr>
            </w:pPr>
            <w:r w:rsidRPr="00E87502">
              <w:rPr>
                <w:rFonts w:ascii="Arial" w:hAnsi="Arial" w:cs="Arial"/>
                <w:b/>
                <w:bCs/>
                <w:sz w:val="22"/>
                <w:szCs w:val="22"/>
              </w:rPr>
              <w:t xml:space="preserve">2. Cíl návrhu předpisu  </w:t>
            </w:r>
          </w:p>
        </w:tc>
      </w:tr>
      <w:tr w:rsidR="00E87502" w:rsidRPr="00E87502" w14:paraId="4AF0A019" w14:textId="77777777" w:rsidTr="003100E0">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12" w:space="0" w:color="auto"/>
              <w:left w:val="single" w:sz="12" w:space="0" w:color="auto"/>
              <w:bottom w:val="single" w:sz="12" w:space="0" w:color="auto"/>
              <w:right w:val="single" w:sz="12" w:space="0" w:color="auto"/>
            </w:tcBorders>
            <w:shd w:val="clear" w:color="auto" w:fill="auto"/>
          </w:tcPr>
          <w:p w14:paraId="50EC8EE0" w14:textId="51FD6AFB" w:rsidR="00791E70" w:rsidRPr="0018518F" w:rsidRDefault="001B6820" w:rsidP="001B6820">
            <w:pPr>
              <w:jc w:val="both"/>
              <w:rPr>
                <w:rFonts w:ascii="Arial" w:hAnsi="Arial" w:cs="Arial"/>
                <w:strike/>
                <w:sz w:val="22"/>
                <w:szCs w:val="22"/>
              </w:rPr>
            </w:pPr>
            <w:r w:rsidRPr="00864DC2">
              <w:rPr>
                <w:rFonts w:ascii="Arial" w:hAnsi="Arial" w:cs="Arial"/>
                <w:sz w:val="22"/>
                <w:szCs w:val="22"/>
              </w:rPr>
              <w:t xml:space="preserve">Jedná se o návrh </w:t>
            </w:r>
            <w:r w:rsidRPr="00864DC2">
              <w:rPr>
                <w:rFonts w:ascii="Arial" w:eastAsia="Calibri" w:hAnsi="Arial" w:cs="Arial"/>
                <w:bCs/>
                <w:sz w:val="22"/>
                <w:szCs w:val="22"/>
              </w:rPr>
              <w:t xml:space="preserve">prováděcí vyhlášky k zákonu č. 165/2012 Sb., o podporovaných zdrojích energie a o změně některých zákonů, </w:t>
            </w:r>
            <w:r w:rsidR="00E13EEC">
              <w:rPr>
                <w:rFonts w:ascii="Arial" w:eastAsia="Calibri" w:hAnsi="Arial" w:cs="Arial"/>
                <w:bCs/>
                <w:sz w:val="22"/>
                <w:szCs w:val="22"/>
              </w:rPr>
              <w:t>ve znění zákona č. 382/2021 Sb. (dále jen „zákon o podporovaných zdrojích</w:t>
            </w:r>
            <w:r w:rsidR="001D5514">
              <w:rPr>
                <w:rFonts w:ascii="Arial" w:eastAsia="Calibri" w:hAnsi="Arial" w:cs="Arial"/>
                <w:bCs/>
                <w:sz w:val="22"/>
                <w:szCs w:val="22"/>
              </w:rPr>
              <w:t xml:space="preserve"> energie</w:t>
            </w:r>
            <w:r w:rsidR="00E13EEC">
              <w:rPr>
                <w:rFonts w:ascii="Arial" w:eastAsia="Calibri" w:hAnsi="Arial" w:cs="Arial"/>
                <w:bCs/>
                <w:sz w:val="22"/>
                <w:szCs w:val="22"/>
              </w:rPr>
              <w:t>“). Zákon č. 382/2021 Sb.</w:t>
            </w:r>
            <w:r w:rsidR="006F30EF">
              <w:rPr>
                <w:rFonts w:ascii="Arial" w:eastAsia="Calibri" w:hAnsi="Arial" w:cs="Arial"/>
                <w:bCs/>
                <w:sz w:val="22"/>
                <w:szCs w:val="22"/>
              </w:rPr>
              <w:t>, který nabyl účinnosti dn</w:t>
            </w:r>
            <w:r w:rsidR="001D5514">
              <w:rPr>
                <w:rFonts w:ascii="Arial" w:eastAsia="Calibri" w:hAnsi="Arial" w:cs="Arial"/>
                <w:bCs/>
                <w:sz w:val="22"/>
                <w:szCs w:val="22"/>
              </w:rPr>
              <w:t>e</w:t>
            </w:r>
            <w:r w:rsidR="006F30EF">
              <w:rPr>
                <w:rFonts w:ascii="Arial" w:eastAsia="Calibri" w:hAnsi="Arial" w:cs="Arial"/>
                <w:bCs/>
                <w:sz w:val="22"/>
                <w:szCs w:val="22"/>
              </w:rPr>
              <w:t>m 1. ledna 2022, zcela zásadním způsobem novelizoval stávající znění zákona o podporovaných zdrojích</w:t>
            </w:r>
            <w:r w:rsidR="001D5514">
              <w:rPr>
                <w:rFonts w:ascii="Arial" w:eastAsia="Calibri" w:hAnsi="Arial" w:cs="Arial"/>
                <w:bCs/>
                <w:sz w:val="22"/>
                <w:szCs w:val="22"/>
              </w:rPr>
              <w:t xml:space="preserve"> energie včetně jeho zmocňujících ustanovení</w:t>
            </w:r>
            <w:r w:rsidR="006F30EF">
              <w:rPr>
                <w:rFonts w:ascii="Arial" w:eastAsia="Calibri" w:hAnsi="Arial" w:cs="Arial"/>
                <w:bCs/>
                <w:sz w:val="22"/>
                <w:szCs w:val="22"/>
              </w:rPr>
              <w:t xml:space="preserve">. Vyhláška se vydává na základě </w:t>
            </w:r>
            <w:r w:rsidRPr="00864DC2">
              <w:rPr>
                <w:rFonts w:ascii="Arial" w:hAnsi="Arial" w:cs="Arial"/>
                <w:sz w:val="22"/>
                <w:szCs w:val="22"/>
              </w:rPr>
              <w:t xml:space="preserve">zmocnění </w:t>
            </w:r>
            <w:r w:rsidR="001D5514">
              <w:rPr>
                <w:rFonts w:ascii="Arial" w:hAnsi="Arial" w:cs="Arial"/>
                <w:sz w:val="22"/>
                <w:szCs w:val="22"/>
              </w:rPr>
              <w:t>uvedeného v</w:t>
            </w:r>
            <w:r w:rsidRPr="00864DC2">
              <w:rPr>
                <w:rFonts w:ascii="Arial" w:hAnsi="Arial" w:cs="Arial"/>
                <w:sz w:val="22"/>
                <w:szCs w:val="22"/>
              </w:rPr>
              <w:t xml:space="preserve"> § 53 odst. 1 písm. f) a písm. </w:t>
            </w:r>
            <w:proofErr w:type="spellStart"/>
            <w:r w:rsidRPr="00864DC2">
              <w:rPr>
                <w:rFonts w:ascii="Arial" w:hAnsi="Arial" w:cs="Arial"/>
                <w:sz w:val="22"/>
                <w:szCs w:val="22"/>
              </w:rPr>
              <w:t>ac</w:t>
            </w:r>
            <w:proofErr w:type="spellEnd"/>
            <w:r w:rsidRPr="00864DC2">
              <w:rPr>
                <w:rFonts w:ascii="Arial" w:hAnsi="Arial" w:cs="Arial"/>
                <w:sz w:val="22"/>
                <w:szCs w:val="22"/>
              </w:rPr>
              <w:t xml:space="preserve">) zákona o podporovaných zdrojích energie </w:t>
            </w:r>
          </w:p>
          <w:p w14:paraId="00BE5D23" w14:textId="77777777" w:rsidR="00791E70" w:rsidRPr="0018518F" w:rsidRDefault="00791E70" w:rsidP="001B6820">
            <w:pPr>
              <w:jc w:val="both"/>
              <w:rPr>
                <w:rFonts w:ascii="Arial" w:hAnsi="Arial" w:cs="Arial"/>
                <w:strike/>
                <w:sz w:val="22"/>
                <w:szCs w:val="22"/>
              </w:rPr>
            </w:pPr>
          </w:p>
          <w:p w14:paraId="6A0A2184" w14:textId="1E320A35" w:rsidR="001B6820" w:rsidRPr="00864DC2" w:rsidRDefault="00CA719B" w:rsidP="001B6820">
            <w:pPr>
              <w:jc w:val="both"/>
              <w:rPr>
                <w:rFonts w:ascii="Arial" w:hAnsi="Arial" w:cs="Arial"/>
                <w:sz w:val="22"/>
                <w:szCs w:val="22"/>
              </w:rPr>
            </w:pPr>
            <w:r w:rsidRPr="00864DC2">
              <w:rPr>
                <w:rFonts w:ascii="Arial" w:hAnsi="Arial" w:cs="Arial"/>
                <w:sz w:val="22"/>
                <w:szCs w:val="22"/>
              </w:rPr>
              <w:t>Předmětem úpravy je</w:t>
            </w:r>
          </w:p>
          <w:p w14:paraId="2E052C54" w14:textId="77777777" w:rsidR="001B6820" w:rsidRPr="00864DC2" w:rsidRDefault="001B6820" w:rsidP="001B6820">
            <w:pPr>
              <w:pStyle w:val="Odstavecseseznamem"/>
              <w:widowControl w:val="0"/>
              <w:numPr>
                <w:ilvl w:val="0"/>
                <w:numId w:val="42"/>
              </w:numPr>
              <w:autoSpaceDE w:val="0"/>
              <w:autoSpaceDN w:val="0"/>
              <w:adjustRightInd w:val="0"/>
              <w:jc w:val="both"/>
              <w:rPr>
                <w:rFonts w:ascii="Arial" w:hAnsi="Arial" w:cs="Arial"/>
                <w:sz w:val="22"/>
                <w:szCs w:val="22"/>
              </w:rPr>
            </w:pPr>
            <w:r w:rsidRPr="00864DC2">
              <w:rPr>
                <w:rFonts w:ascii="Arial" w:hAnsi="Arial" w:cs="Arial"/>
                <w:sz w:val="22"/>
                <w:szCs w:val="22"/>
              </w:rPr>
              <w:t xml:space="preserve">registrace výrobny elektřiny, výrobny </w:t>
            </w:r>
            <w:proofErr w:type="spellStart"/>
            <w:r w:rsidRPr="00864DC2">
              <w:rPr>
                <w:rFonts w:ascii="Arial" w:hAnsi="Arial" w:cs="Arial"/>
                <w:sz w:val="22"/>
                <w:szCs w:val="22"/>
              </w:rPr>
              <w:t>biometanu</w:t>
            </w:r>
            <w:proofErr w:type="spellEnd"/>
            <w:r w:rsidRPr="00864DC2">
              <w:rPr>
                <w:rFonts w:ascii="Arial" w:hAnsi="Arial" w:cs="Arial"/>
                <w:sz w:val="22"/>
                <w:szCs w:val="22"/>
              </w:rPr>
              <w:t>, výrobny tepla, výrobny tepla z jaderného zařízení a výrobny vodíku v systému operátora trhu pro vydání záruky původu,</w:t>
            </w:r>
          </w:p>
          <w:p w14:paraId="17824EB0" w14:textId="77777777" w:rsidR="001B6820" w:rsidRPr="00864DC2" w:rsidRDefault="001B6820" w:rsidP="001B6820">
            <w:pPr>
              <w:pStyle w:val="Odstavecseseznamem"/>
              <w:widowControl w:val="0"/>
              <w:numPr>
                <w:ilvl w:val="0"/>
                <w:numId w:val="42"/>
              </w:numPr>
              <w:autoSpaceDE w:val="0"/>
              <w:autoSpaceDN w:val="0"/>
              <w:adjustRightInd w:val="0"/>
              <w:jc w:val="both"/>
              <w:rPr>
                <w:rFonts w:ascii="Arial" w:hAnsi="Arial" w:cs="Arial"/>
                <w:sz w:val="22"/>
                <w:szCs w:val="22"/>
              </w:rPr>
            </w:pPr>
            <w:r w:rsidRPr="00864DC2">
              <w:rPr>
                <w:rFonts w:ascii="Arial" w:hAnsi="Arial" w:cs="Arial"/>
                <w:sz w:val="22"/>
                <w:szCs w:val="22"/>
              </w:rPr>
              <w:t xml:space="preserve">rozsah předávaných údajů operátorovi trhu od provozovatele přenosové soustavy, provozovatele přepravní soustavy, provozovatele distribuční soustavy, výrobce plynu, provozovatele čerpací stanice nebo výdejní jednotky, ke které je přímo připojena výrobna </w:t>
            </w:r>
            <w:proofErr w:type="spellStart"/>
            <w:r w:rsidRPr="00864DC2">
              <w:rPr>
                <w:rFonts w:ascii="Arial" w:hAnsi="Arial" w:cs="Arial"/>
                <w:sz w:val="22"/>
                <w:szCs w:val="22"/>
              </w:rPr>
              <w:t>biometanu</w:t>
            </w:r>
            <w:proofErr w:type="spellEnd"/>
            <w:r w:rsidRPr="00864DC2">
              <w:rPr>
                <w:rFonts w:ascii="Arial" w:hAnsi="Arial" w:cs="Arial"/>
                <w:sz w:val="22"/>
                <w:szCs w:val="22"/>
              </w:rPr>
              <w:t>, výrobce vodíku a provozovatele rozvodných tepelných zařízení pro vydání záruky původu,</w:t>
            </w:r>
          </w:p>
          <w:p w14:paraId="7D1163F1" w14:textId="77777777" w:rsidR="001B6820" w:rsidRPr="00864DC2" w:rsidRDefault="001B6820" w:rsidP="001B6820">
            <w:pPr>
              <w:pStyle w:val="Odstavecseseznamem"/>
              <w:widowControl w:val="0"/>
              <w:numPr>
                <w:ilvl w:val="0"/>
                <w:numId w:val="42"/>
              </w:numPr>
              <w:autoSpaceDE w:val="0"/>
              <w:autoSpaceDN w:val="0"/>
              <w:adjustRightInd w:val="0"/>
              <w:jc w:val="both"/>
              <w:rPr>
                <w:rFonts w:ascii="Arial" w:hAnsi="Arial" w:cs="Arial"/>
                <w:sz w:val="22"/>
                <w:szCs w:val="22"/>
              </w:rPr>
            </w:pPr>
            <w:r w:rsidRPr="00864DC2">
              <w:rPr>
                <w:rFonts w:ascii="Arial" w:hAnsi="Arial" w:cs="Arial"/>
                <w:sz w:val="22"/>
                <w:szCs w:val="22"/>
              </w:rPr>
              <w:t xml:space="preserve">naměřené nebo vypočtené hodnoty o vyrobeném množství elektřiny, </w:t>
            </w:r>
            <w:proofErr w:type="spellStart"/>
            <w:r w:rsidRPr="00864DC2">
              <w:rPr>
                <w:rFonts w:ascii="Arial" w:hAnsi="Arial" w:cs="Arial"/>
                <w:sz w:val="22"/>
                <w:szCs w:val="22"/>
              </w:rPr>
              <w:t>biometanu</w:t>
            </w:r>
            <w:proofErr w:type="spellEnd"/>
            <w:r w:rsidRPr="00864DC2">
              <w:rPr>
                <w:rFonts w:ascii="Arial" w:hAnsi="Arial" w:cs="Arial"/>
                <w:sz w:val="22"/>
                <w:szCs w:val="22"/>
              </w:rPr>
              <w:t>, vodíku nebo tepla,</w:t>
            </w:r>
          </w:p>
          <w:p w14:paraId="1F34029F" w14:textId="77777777" w:rsidR="001B6820" w:rsidRPr="00864DC2" w:rsidRDefault="001B6820" w:rsidP="001B6820">
            <w:pPr>
              <w:pStyle w:val="Odstavecseseznamem"/>
              <w:widowControl w:val="0"/>
              <w:numPr>
                <w:ilvl w:val="0"/>
                <w:numId w:val="42"/>
              </w:numPr>
              <w:autoSpaceDE w:val="0"/>
              <w:autoSpaceDN w:val="0"/>
              <w:adjustRightInd w:val="0"/>
              <w:jc w:val="both"/>
              <w:rPr>
                <w:rFonts w:ascii="Arial" w:hAnsi="Arial" w:cs="Arial"/>
                <w:sz w:val="22"/>
                <w:szCs w:val="22"/>
              </w:rPr>
            </w:pPr>
            <w:r w:rsidRPr="00864DC2">
              <w:rPr>
                <w:rFonts w:ascii="Arial" w:hAnsi="Arial" w:cs="Arial"/>
                <w:sz w:val="22"/>
                <w:szCs w:val="22"/>
              </w:rPr>
              <w:t>postupy, termíny a podmínky pro vydání, převody, uplatnění, uznání, vyřazení a zrušení záruky původu,</w:t>
            </w:r>
          </w:p>
          <w:p w14:paraId="29556129" w14:textId="77777777" w:rsidR="001B6820" w:rsidRPr="00864DC2" w:rsidRDefault="001B6820" w:rsidP="001B6820">
            <w:pPr>
              <w:pStyle w:val="Odstavecseseznamem"/>
              <w:widowControl w:val="0"/>
              <w:numPr>
                <w:ilvl w:val="0"/>
                <w:numId w:val="42"/>
              </w:numPr>
              <w:autoSpaceDE w:val="0"/>
              <w:autoSpaceDN w:val="0"/>
              <w:adjustRightInd w:val="0"/>
              <w:jc w:val="both"/>
              <w:rPr>
                <w:rFonts w:ascii="Arial" w:hAnsi="Arial" w:cs="Arial"/>
                <w:sz w:val="22"/>
                <w:szCs w:val="22"/>
              </w:rPr>
            </w:pPr>
            <w:r w:rsidRPr="00864DC2">
              <w:rPr>
                <w:rFonts w:ascii="Arial" w:hAnsi="Arial" w:cs="Arial"/>
                <w:sz w:val="22"/>
                <w:szCs w:val="22"/>
              </w:rPr>
              <w:t>náležitosti žádosti o vydání záruk původu a převod záruk původu,</w:t>
            </w:r>
          </w:p>
          <w:p w14:paraId="4B7D1BBD" w14:textId="77777777" w:rsidR="001B6820" w:rsidRPr="00864DC2" w:rsidRDefault="001B6820" w:rsidP="001B6820">
            <w:pPr>
              <w:pStyle w:val="Odstavecseseznamem"/>
              <w:widowControl w:val="0"/>
              <w:numPr>
                <w:ilvl w:val="0"/>
                <w:numId w:val="42"/>
              </w:numPr>
              <w:autoSpaceDE w:val="0"/>
              <w:autoSpaceDN w:val="0"/>
              <w:adjustRightInd w:val="0"/>
              <w:jc w:val="both"/>
              <w:rPr>
                <w:rFonts w:ascii="Arial" w:hAnsi="Arial" w:cs="Arial"/>
                <w:sz w:val="22"/>
                <w:szCs w:val="22"/>
              </w:rPr>
            </w:pPr>
            <w:r w:rsidRPr="00864DC2">
              <w:rPr>
                <w:rFonts w:ascii="Arial" w:hAnsi="Arial" w:cs="Arial"/>
                <w:sz w:val="22"/>
                <w:szCs w:val="22"/>
              </w:rPr>
              <w:t>způsob předávání informací a ověřování údajů nutných k vydávání záruk původu, způsob převodu, uznání, uplatnění, vyřazení, zrušení záruky původu a vedení účtů v evidenci záruk původu,</w:t>
            </w:r>
          </w:p>
          <w:p w14:paraId="199E0432" w14:textId="77777777" w:rsidR="001B6820" w:rsidRPr="00864DC2" w:rsidRDefault="001B6820" w:rsidP="001B6820">
            <w:pPr>
              <w:pStyle w:val="Odstavecseseznamem"/>
              <w:widowControl w:val="0"/>
              <w:numPr>
                <w:ilvl w:val="0"/>
                <w:numId w:val="42"/>
              </w:numPr>
              <w:autoSpaceDE w:val="0"/>
              <w:autoSpaceDN w:val="0"/>
              <w:adjustRightInd w:val="0"/>
              <w:jc w:val="both"/>
              <w:rPr>
                <w:rFonts w:ascii="Arial" w:hAnsi="Arial" w:cs="Arial"/>
                <w:sz w:val="22"/>
                <w:szCs w:val="22"/>
              </w:rPr>
            </w:pPr>
            <w:r w:rsidRPr="00864DC2">
              <w:rPr>
                <w:rFonts w:ascii="Arial" w:hAnsi="Arial" w:cs="Arial"/>
                <w:sz w:val="22"/>
                <w:szCs w:val="22"/>
              </w:rPr>
              <w:t xml:space="preserve">pravidla převodu záruk původu pokročilého </w:t>
            </w:r>
            <w:proofErr w:type="spellStart"/>
            <w:r w:rsidRPr="00864DC2">
              <w:rPr>
                <w:rFonts w:ascii="Arial" w:hAnsi="Arial" w:cs="Arial"/>
                <w:sz w:val="22"/>
                <w:szCs w:val="22"/>
              </w:rPr>
              <w:t>biometanu</w:t>
            </w:r>
            <w:proofErr w:type="spellEnd"/>
            <w:r w:rsidRPr="00864DC2">
              <w:rPr>
                <w:rFonts w:ascii="Arial" w:hAnsi="Arial" w:cs="Arial"/>
                <w:sz w:val="22"/>
                <w:szCs w:val="22"/>
              </w:rPr>
              <w:t xml:space="preserve"> a</w:t>
            </w:r>
          </w:p>
          <w:p w14:paraId="5E13A02B" w14:textId="77777777" w:rsidR="001B6820" w:rsidRPr="00864DC2" w:rsidRDefault="001B6820" w:rsidP="001B6820">
            <w:pPr>
              <w:pStyle w:val="Odstavecseseznamem"/>
              <w:widowControl w:val="0"/>
              <w:numPr>
                <w:ilvl w:val="0"/>
                <w:numId w:val="42"/>
              </w:numPr>
              <w:autoSpaceDE w:val="0"/>
              <w:autoSpaceDN w:val="0"/>
              <w:adjustRightInd w:val="0"/>
              <w:jc w:val="both"/>
              <w:rPr>
                <w:rFonts w:ascii="Arial" w:hAnsi="Arial" w:cs="Arial"/>
                <w:sz w:val="22"/>
                <w:szCs w:val="22"/>
              </w:rPr>
            </w:pPr>
            <w:r w:rsidRPr="00864DC2">
              <w:rPr>
                <w:rFonts w:ascii="Arial" w:hAnsi="Arial" w:cs="Arial"/>
                <w:sz w:val="22"/>
                <w:szCs w:val="22"/>
              </w:rPr>
              <w:t xml:space="preserve">způsob stanovení podílu dodavatelů plynu na celkové dodávce zemního plynu a </w:t>
            </w:r>
            <w:proofErr w:type="spellStart"/>
            <w:r w:rsidRPr="00864DC2">
              <w:rPr>
                <w:rFonts w:ascii="Arial" w:hAnsi="Arial" w:cs="Arial"/>
                <w:sz w:val="22"/>
                <w:szCs w:val="22"/>
              </w:rPr>
              <w:t>biometanu</w:t>
            </w:r>
            <w:proofErr w:type="spellEnd"/>
            <w:r w:rsidRPr="00864DC2">
              <w:rPr>
                <w:rFonts w:ascii="Arial" w:hAnsi="Arial" w:cs="Arial"/>
                <w:sz w:val="22"/>
                <w:szCs w:val="22"/>
              </w:rPr>
              <w:t>.</w:t>
            </w:r>
          </w:p>
          <w:p w14:paraId="4B60B900" w14:textId="77777777" w:rsidR="001B6820" w:rsidRPr="00864DC2" w:rsidRDefault="001B6820" w:rsidP="001B6820">
            <w:pPr>
              <w:ind w:firstLine="708"/>
              <w:jc w:val="both"/>
              <w:rPr>
                <w:rFonts w:ascii="Arial" w:hAnsi="Arial" w:cs="Arial"/>
                <w:sz w:val="22"/>
                <w:szCs w:val="22"/>
                <w:lang w:bidi="en-US"/>
              </w:rPr>
            </w:pPr>
          </w:p>
          <w:p w14:paraId="2F397956" w14:textId="6D209E08" w:rsidR="006C476B" w:rsidRPr="00864DC2" w:rsidRDefault="001B6820" w:rsidP="0018518F">
            <w:pPr>
              <w:jc w:val="both"/>
              <w:rPr>
                <w:rFonts w:ascii="Arial" w:hAnsi="Arial" w:cs="Arial"/>
                <w:sz w:val="22"/>
                <w:szCs w:val="22"/>
              </w:rPr>
            </w:pPr>
            <w:r w:rsidRPr="00864DC2">
              <w:rPr>
                <w:rFonts w:ascii="Arial" w:hAnsi="Arial" w:cs="Arial"/>
                <w:sz w:val="22"/>
                <w:szCs w:val="22"/>
                <w:lang w:bidi="en-US"/>
              </w:rPr>
              <w:t xml:space="preserve">Záruka původu slouží jako </w:t>
            </w:r>
            <w:r w:rsidRPr="00864DC2">
              <w:rPr>
                <w:rFonts w:ascii="Arial" w:hAnsi="Arial" w:cs="Arial"/>
                <w:sz w:val="22"/>
                <w:szCs w:val="22"/>
                <w:shd w:val="clear" w:color="auto" w:fill="FFFFFF"/>
              </w:rPr>
              <w:t xml:space="preserve">doklad spotřebiteli o podílu nebo množství energie z obnovitelných zdrojů na skladbě zdrojů energie dodavatele a na energii dodávané zákazníkům na základě smluv. </w:t>
            </w:r>
            <w:r w:rsidRPr="00864DC2">
              <w:rPr>
                <w:rFonts w:ascii="Arial" w:hAnsi="Arial" w:cs="Arial"/>
                <w:sz w:val="22"/>
                <w:szCs w:val="22"/>
              </w:rPr>
              <w:t xml:space="preserve">V případě nevydání vyhlášky by nebyla stanovena pravidla pro vydávání záruk původu, jejich registraci a evidenci a pro nakládání s nimi pro výrobny elektřiny, tepla a </w:t>
            </w:r>
            <w:proofErr w:type="spellStart"/>
            <w:r w:rsidRPr="00864DC2">
              <w:rPr>
                <w:rFonts w:ascii="Arial" w:hAnsi="Arial" w:cs="Arial"/>
                <w:sz w:val="22"/>
                <w:szCs w:val="22"/>
              </w:rPr>
              <w:t>biometanu</w:t>
            </w:r>
            <w:proofErr w:type="spellEnd"/>
            <w:r w:rsidRPr="00864DC2">
              <w:rPr>
                <w:rFonts w:ascii="Arial" w:hAnsi="Arial" w:cs="Arial"/>
                <w:sz w:val="22"/>
                <w:szCs w:val="22"/>
              </w:rPr>
              <w:t>, výrobny tepla z jaderných zařízení a výrobny vodíku v souladu s</w:t>
            </w:r>
            <w:r w:rsidR="005A368E">
              <w:rPr>
                <w:rFonts w:ascii="Arial" w:hAnsi="Arial" w:cs="Arial"/>
                <w:sz w:val="22"/>
                <w:szCs w:val="22"/>
              </w:rPr>
              <w:t xml:space="preserve">e zákonem </w:t>
            </w:r>
            <w:r w:rsidRPr="00864DC2">
              <w:rPr>
                <w:rFonts w:ascii="Arial" w:hAnsi="Arial" w:cs="Arial"/>
                <w:sz w:val="22"/>
                <w:szCs w:val="22"/>
              </w:rPr>
              <w:t xml:space="preserve">o podporovaných zdrojích energie. </w:t>
            </w:r>
          </w:p>
        </w:tc>
      </w:tr>
      <w:tr w:rsidR="00E87502" w:rsidRPr="00E87502" w14:paraId="44F19A9A" w14:textId="77777777" w:rsidTr="006A514C">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single" w:sz="12" w:space="0" w:color="auto"/>
              <w:right w:val="single" w:sz="12" w:space="0" w:color="auto"/>
            </w:tcBorders>
            <w:shd w:val="clear" w:color="auto" w:fill="D6E3BC" w:themeFill="accent3" w:themeFillTint="66"/>
          </w:tcPr>
          <w:p w14:paraId="0C3AC058" w14:textId="77777777" w:rsidR="000F4AD7" w:rsidRPr="00864DC2" w:rsidRDefault="000F4AD7" w:rsidP="003100E0">
            <w:pPr>
              <w:tabs>
                <w:tab w:val="left" w:pos="6660"/>
              </w:tabs>
              <w:rPr>
                <w:rFonts w:ascii="Arial" w:hAnsi="Arial" w:cs="Arial"/>
                <w:b/>
                <w:bCs/>
                <w:sz w:val="22"/>
                <w:szCs w:val="22"/>
              </w:rPr>
            </w:pPr>
            <w:r w:rsidRPr="00864DC2">
              <w:rPr>
                <w:rFonts w:ascii="Arial" w:hAnsi="Arial" w:cs="Arial"/>
                <w:b/>
                <w:bCs/>
                <w:sz w:val="22"/>
                <w:szCs w:val="22"/>
              </w:rPr>
              <w:t>3. Agregované dopady návrhu zákona</w:t>
            </w:r>
          </w:p>
        </w:tc>
      </w:tr>
      <w:tr w:rsidR="00E87502" w:rsidRPr="00E87502" w14:paraId="34D23C49" w14:textId="77777777" w:rsidTr="006A514C">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single" w:sz="12" w:space="0" w:color="auto"/>
              <w:right w:val="single" w:sz="12" w:space="0" w:color="auto"/>
            </w:tcBorders>
            <w:shd w:val="clear" w:color="auto" w:fill="D6E3BC" w:themeFill="accent3" w:themeFillTint="66"/>
          </w:tcPr>
          <w:p w14:paraId="03C4ED5A" w14:textId="5E45E547" w:rsidR="000F4AD7" w:rsidRPr="00864DC2" w:rsidRDefault="000F4AD7" w:rsidP="003100E0">
            <w:pPr>
              <w:tabs>
                <w:tab w:val="left" w:pos="6660"/>
              </w:tabs>
              <w:rPr>
                <w:rFonts w:ascii="Arial" w:hAnsi="Arial" w:cs="Arial"/>
                <w:b/>
                <w:bCs/>
                <w:sz w:val="22"/>
                <w:szCs w:val="22"/>
              </w:rPr>
            </w:pPr>
            <w:r w:rsidRPr="00864DC2">
              <w:rPr>
                <w:rFonts w:ascii="Arial" w:hAnsi="Arial" w:cs="Arial"/>
                <w:b/>
                <w:bCs/>
                <w:sz w:val="22"/>
                <w:szCs w:val="22"/>
              </w:rPr>
              <w:t xml:space="preserve">3.1 Dopady na státní rozpočet a ostatní veřejné rozpočty: </w:t>
            </w:r>
            <w:r w:rsidR="008C1B82" w:rsidRPr="00864DC2">
              <w:rPr>
                <w:rFonts w:ascii="Arial" w:hAnsi="Arial" w:cs="Arial"/>
                <w:b/>
                <w:bCs/>
                <w:sz w:val="22"/>
                <w:szCs w:val="22"/>
              </w:rPr>
              <w:t>NE</w:t>
            </w:r>
          </w:p>
        </w:tc>
      </w:tr>
      <w:tr w:rsidR="00E87502" w:rsidRPr="00E87502" w14:paraId="56B665B4" w14:textId="77777777" w:rsidTr="003100E0">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single" w:sz="12" w:space="0" w:color="auto"/>
              <w:right w:val="single" w:sz="12" w:space="0" w:color="auto"/>
            </w:tcBorders>
            <w:shd w:val="clear" w:color="auto" w:fill="auto"/>
          </w:tcPr>
          <w:p w14:paraId="196D8CFE" w14:textId="6F310DE5" w:rsidR="008C1B82" w:rsidRPr="00864DC2" w:rsidRDefault="00F70CED" w:rsidP="00F70CED">
            <w:pPr>
              <w:jc w:val="both"/>
              <w:rPr>
                <w:rFonts w:ascii="Arial" w:eastAsia="SimSun" w:hAnsi="Arial" w:cs="Arial"/>
                <w:sz w:val="22"/>
                <w:szCs w:val="22"/>
              </w:rPr>
            </w:pPr>
            <w:r w:rsidRPr="00864DC2">
              <w:rPr>
                <w:rFonts w:ascii="Arial" w:eastAsia="SimSun" w:hAnsi="Arial" w:cs="Arial"/>
                <w:sz w:val="22"/>
                <w:szCs w:val="22"/>
              </w:rPr>
              <w:t xml:space="preserve">Plnění předkládaného návrhu vyhlášky si nevyžádá nároky na státní rozpočet a ani nebude mít dopad na ostatní veřejné rozpočty. Cílem vyhlášky je stanovit pravidla pro vydávání a nakládání </w:t>
            </w:r>
            <w:r w:rsidRPr="00864DC2">
              <w:rPr>
                <w:rFonts w:ascii="Arial" w:eastAsia="SimSun" w:hAnsi="Arial" w:cs="Arial"/>
                <w:sz w:val="22"/>
                <w:szCs w:val="22"/>
              </w:rPr>
              <w:lastRenderedPageBreak/>
              <w:t xml:space="preserve">záruk původu energie pro výrobce elektřiny, tepla </w:t>
            </w:r>
            <w:proofErr w:type="spellStart"/>
            <w:r w:rsidRPr="00864DC2">
              <w:rPr>
                <w:rFonts w:ascii="Arial" w:eastAsia="SimSun" w:hAnsi="Arial" w:cs="Arial"/>
                <w:sz w:val="22"/>
                <w:szCs w:val="22"/>
              </w:rPr>
              <w:t>biometanu</w:t>
            </w:r>
            <w:proofErr w:type="spellEnd"/>
            <w:r w:rsidRPr="00864DC2">
              <w:rPr>
                <w:rFonts w:ascii="Arial" w:eastAsia="SimSun" w:hAnsi="Arial" w:cs="Arial"/>
                <w:sz w:val="22"/>
                <w:szCs w:val="22"/>
              </w:rPr>
              <w:t xml:space="preserve"> a vodíku a umožnit jejich vydávání a nakládání s nimi. Vyhláška proto vymezuje základní pojmy související s danou problematikou, pravidla pro registraci, vydávání a nakládání se zárukami původu energie a způsoby předávání a</w:t>
            </w:r>
            <w:r w:rsidR="00FA4F9B">
              <w:rPr>
                <w:rFonts w:ascii="Arial" w:eastAsia="SimSun" w:hAnsi="Arial" w:cs="Arial"/>
                <w:sz w:val="22"/>
                <w:szCs w:val="22"/>
              </w:rPr>
              <w:t> </w:t>
            </w:r>
            <w:r w:rsidRPr="00864DC2">
              <w:rPr>
                <w:rFonts w:ascii="Arial" w:eastAsia="SimSun" w:hAnsi="Arial" w:cs="Arial"/>
                <w:sz w:val="22"/>
                <w:szCs w:val="22"/>
              </w:rPr>
              <w:t>ověřování informací a údajů.</w:t>
            </w:r>
            <w:r w:rsidR="00770EDC" w:rsidRPr="00864DC2">
              <w:rPr>
                <w:rFonts w:ascii="Arial" w:eastAsia="SimSun" w:hAnsi="Arial" w:cs="Arial"/>
                <w:sz w:val="22"/>
                <w:szCs w:val="22"/>
                <w:lang w:bidi="en-US"/>
              </w:rPr>
              <w:t xml:space="preserve"> </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8"/>
            </w:tblGrid>
            <w:tr w:rsidR="00864DC2" w:rsidRPr="00864DC2" w14:paraId="468A3DFC" w14:textId="77777777" w:rsidTr="006A514C">
              <w:trPr>
                <w:jc w:val="center"/>
              </w:trPr>
              <w:tc>
                <w:tcPr>
                  <w:tcW w:w="9648" w:type="dxa"/>
                  <w:tcBorders>
                    <w:top w:val="single" w:sz="4" w:space="0" w:color="auto"/>
                    <w:left w:val="single" w:sz="12" w:space="0" w:color="auto"/>
                    <w:bottom w:val="single" w:sz="12" w:space="0" w:color="auto"/>
                    <w:right w:val="single" w:sz="12" w:space="0" w:color="auto"/>
                  </w:tcBorders>
                  <w:shd w:val="clear" w:color="auto" w:fill="D6E3BC" w:themeFill="accent3" w:themeFillTint="66"/>
                </w:tcPr>
                <w:p w14:paraId="7720F5FF" w14:textId="7C492BD8" w:rsidR="000F4AD7" w:rsidRPr="00864DC2" w:rsidRDefault="000F4AD7" w:rsidP="003100E0">
                  <w:pPr>
                    <w:tabs>
                      <w:tab w:val="left" w:pos="6660"/>
                    </w:tabs>
                    <w:rPr>
                      <w:rFonts w:ascii="Arial" w:hAnsi="Arial" w:cs="Arial"/>
                      <w:b/>
                      <w:bCs/>
                      <w:sz w:val="22"/>
                      <w:szCs w:val="22"/>
                    </w:rPr>
                  </w:pPr>
                  <w:r w:rsidRPr="00864DC2">
                    <w:rPr>
                      <w:rFonts w:ascii="Arial" w:hAnsi="Arial" w:cs="Arial"/>
                      <w:b/>
                      <w:bCs/>
                      <w:sz w:val="22"/>
                      <w:szCs w:val="22"/>
                    </w:rPr>
                    <w:t>3.2 Dopady na mezinárodní konkurenceschopnost ČR: A</w:t>
                  </w:r>
                  <w:r w:rsidR="006158DC" w:rsidRPr="00864DC2">
                    <w:rPr>
                      <w:rFonts w:ascii="Arial" w:hAnsi="Arial" w:cs="Arial"/>
                      <w:b/>
                      <w:bCs/>
                      <w:sz w:val="22"/>
                      <w:szCs w:val="22"/>
                    </w:rPr>
                    <w:t>NO</w:t>
                  </w:r>
                </w:p>
              </w:tc>
            </w:tr>
            <w:tr w:rsidR="00864DC2" w:rsidRPr="00864DC2" w14:paraId="04D4B2C4" w14:textId="77777777" w:rsidTr="003100E0">
              <w:trPr>
                <w:jc w:val="center"/>
              </w:trPr>
              <w:tc>
                <w:tcPr>
                  <w:tcW w:w="9648" w:type="dxa"/>
                  <w:tcBorders>
                    <w:top w:val="single" w:sz="4" w:space="0" w:color="auto"/>
                    <w:left w:val="single" w:sz="12" w:space="0" w:color="auto"/>
                    <w:bottom w:val="single" w:sz="12" w:space="0" w:color="auto"/>
                    <w:right w:val="single" w:sz="12" w:space="0" w:color="auto"/>
                  </w:tcBorders>
                  <w:shd w:val="clear" w:color="auto" w:fill="auto"/>
                </w:tcPr>
                <w:p w14:paraId="511AD655" w14:textId="431672D1" w:rsidR="001B6820" w:rsidRPr="00864DC2" w:rsidRDefault="001B6820" w:rsidP="001B6820">
                  <w:pPr>
                    <w:jc w:val="both"/>
                    <w:rPr>
                      <w:rFonts w:ascii="Arial" w:hAnsi="Arial" w:cs="Arial"/>
                      <w:sz w:val="22"/>
                      <w:szCs w:val="22"/>
                      <w:lang w:bidi="en-US"/>
                    </w:rPr>
                  </w:pPr>
                  <w:bookmarkStart w:id="1" w:name="_Hlk88566595"/>
                  <w:r w:rsidRPr="00864DC2">
                    <w:rPr>
                      <w:rFonts w:ascii="Arial" w:hAnsi="Arial" w:cs="Arial"/>
                      <w:sz w:val="22"/>
                      <w:szCs w:val="22"/>
                      <w:lang w:bidi="en-US"/>
                    </w:rPr>
                    <w:t>Cílem navrhované právní úpravy je provedení částečné transpozice směrnice Evropského parlamentu a Rady (EU) 2018/2001/EU o podpoře využívání energie z obnovitelných zdrojů (směrnice „RED II“). Směrnice byla přijata dne 11. prosince 2018 a nahradila původní směrnici z roku 2009 (směrnice Evropského parlamentu a Rady 2009/28/ES o podpoře využívání energie z obnovitelných zdrojů, směrnice „RED I“). Transpozice je provedena také současným zněním zákona o podporovaných zdrojích energie.</w:t>
                  </w:r>
                </w:p>
                <w:bookmarkEnd w:id="1"/>
                <w:p w14:paraId="496D6551" w14:textId="18E21703" w:rsidR="006C476B" w:rsidRPr="00864DC2" w:rsidRDefault="001B6820" w:rsidP="001B6820">
                  <w:pPr>
                    <w:jc w:val="both"/>
                  </w:pPr>
                  <w:r w:rsidRPr="00864DC2">
                    <w:rPr>
                      <w:rFonts w:ascii="Arial" w:hAnsi="Arial" w:cs="Arial"/>
                      <w:sz w:val="22"/>
                      <w:szCs w:val="22"/>
                    </w:rPr>
                    <w:t>Schválení návrhu vyhlášky je nutným předpokladem pro vydávání záruk původu, jejich registraci a evidenci a pro nakládání s nimi v souladu s</w:t>
                  </w:r>
                  <w:r w:rsidR="00B703AF">
                    <w:rPr>
                      <w:rFonts w:ascii="Arial" w:hAnsi="Arial" w:cs="Arial"/>
                      <w:sz w:val="22"/>
                      <w:szCs w:val="22"/>
                    </w:rPr>
                    <w:t>e</w:t>
                  </w:r>
                  <w:r w:rsidRPr="00864DC2">
                    <w:rPr>
                      <w:rFonts w:ascii="Arial" w:hAnsi="Arial" w:cs="Arial"/>
                      <w:sz w:val="22"/>
                      <w:szCs w:val="22"/>
                    </w:rPr>
                    <w:t> </w:t>
                  </w:r>
                  <w:r w:rsidR="00B703AF">
                    <w:rPr>
                      <w:rFonts w:ascii="Arial" w:hAnsi="Arial" w:cs="Arial"/>
                      <w:sz w:val="22"/>
                      <w:szCs w:val="22"/>
                    </w:rPr>
                    <w:t>zákonem</w:t>
                  </w:r>
                  <w:r w:rsidRPr="00864DC2">
                    <w:rPr>
                      <w:rFonts w:ascii="Arial" w:hAnsi="Arial" w:cs="Arial"/>
                      <w:sz w:val="22"/>
                      <w:szCs w:val="22"/>
                    </w:rPr>
                    <w:t xml:space="preserve"> o podporovaných zdrojích energie</w:t>
                  </w:r>
                  <w:r w:rsidR="0018518F">
                    <w:rPr>
                      <w:rFonts w:ascii="Arial" w:hAnsi="Arial" w:cs="Arial"/>
                      <w:sz w:val="22"/>
                      <w:szCs w:val="22"/>
                    </w:rPr>
                    <w:t>.</w:t>
                  </w:r>
                </w:p>
              </w:tc>
            </w:tr>
          </w:tbl>
          <w:p w14:paraId="6EDAB09D" w14:textId="77777777" w:rsidR="000F4AD7" w:rsidRPr="00864DC2" w:rsidRDefault="000F4AD7" w:rsidP="003100E0">
            <w:pPr>
              <w:tabs>
                <w:tab w:val="left" w:pos="6660"/>
              </w:tabs>
              <w:rPr>
                <w:rFonts w:ascii="Arial" w:hAnsi="Arial" w:cs="Arial"/>
                <w:b/>
                <w:bCs/>
                <w:sz w:val="22"/>
                <w:szCs w:val="22"/>
              </w:rPr>
            </w:pPr>
          </w:p>
        </w:tc>
      </w:tr>
      <w:tr w:rsidR="00E87502" w:rsidRPr="00E87502" w14:paraId="7C494A38" w14:textId="77777777" w:rsidTr="00282DA3">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single" w:sz="12" w:space="0" w:color="auto"/>
              <w:right w:val="single" w:sz="12" w:space="0" w:color="auto"/>
            </w:tcBorders>
            <w:shd w:val="clear" w:color="auto" w:fill="D6E3BC" w:themeFill="accent3" w:themeFillTint="66"/>
          </w:tcPr>
          <w:p w14:paraId="2E688F2C" w14:textId="0314E66C" w:rsidR="000F4AD7" w:rsidRPr="00864DC2" w:rsidRDefault="000F4AD7" w:rsidP="00770EDC">
            <w:pPr>
              <w:tabs>
                <w:tab w:val="left" w:pos="6660"/>
              </w:tabs>
              <w:rPr>
                <w:rFonts w:ascii="Arial" w:hAnsi="Arial" w:cs="Arial"/>
                <w:b/>
                <w:bCs/>
                <w:sz w:val="22"/>
                <w:szCs w:val="22"/>
              </w:rPr>
            </w:pPr>
            <w:r w:rsidRPr="00864DC2">
              <w:rPr>
                <w:rFonts w:ascii="Arial" w:hAnsi="Arial" w:cs="Arial"/>
                <w:b/>
                <w:bCs/>
                <w:sz w:val="22"/>
                <w:szCs w:val="22"/>
              </w:rPr>
              <w:lastRenderedPageBreak/>
              <w:t xml:space="preserve">3.3 Dopady na podnikatelské prostředí: </w:t>
            </w:r>
            <w:r w:rsidR="00F70CED" w:rsidRPr="00864DC2">
              <w:rPr>
                <w:rFonts w:ascii="Arial" w:hAnsi="Arial" w:cs="Arial"/>
                <w:b/>
                <w:bCs/>
                <w:sz w:val="22"/>
                <w:szCs w:val="22"/>
              </w:rPr>
              <w:t>ANO</w:t>
            </w:r>
          </w:p>
        </w:tc>
      </w:tr>
      <w:tr w:rsidR="00E87502" w:rsidRPr="00E87502" w14:paraId="0B40C8C4" w14:textId="77777777" w:rsidTr="003100E0">
        <w:tblPrEx>
          <w:tblBorders>
            <w:top w:val="single" w:sz="4" w:space="0" w:color="auto"/>
            <w:left w:val="single" w:sz="4" w:space="0" w:color="auto"/>
            <w:bottom w:val="single" w:sz="4" w:space="0" w:color="auto"/>
            <w:right w:val="single" w:sz="4" w:space="0" w:color="auto"/>
          </w:tblBorders>
        </w:tblPrEx>
        <w:trPr>
          <w:trHeight w:val="369"/>
          <w:jc w:val="center"/>
        </w:trPr>
        <w:tc>
          <w:tcPr>
            <w:tcW w:w="9648" w:type="dxa"/>
            <w:gridSpan w:val="2"/>
            <w:tcBorders>
              <w:top w:val="single" w:sz="4" w:space="0" w:color="auto"/>
              <w:left w:val="single" w:sz="12" w:space="0" w:color="auto"/>
              <w:bottom w:val="single" w:sz="12" w:space="0" w:color="auto"/>
              <w:right w:val="single" w:sz="12" w:space="0" w:color="auto"/>
            </w:tcBorders>
            <w:shd w:val="clear" w:color="auto" w:fill="auto"/>
          </w:tcPr>
          <w:p w14:paraId="28EC45DC" w14:textId="3B0D8D8C" w:rsidR="00444E3B" w:rsidRPr="00864DC2" w:rsidRDefault="00F70CED" w:rsidP="00F70CED">
            <w:pPr>
              <w:pStyle w:val="Normlnweb"/>
              <w:tabs>
                <w:tab w:val="left" w:pos="426"/>
              </w:tabs>
              <w:spacing w:before="0" w:beforeAutospacing="0" w:after="0" w:afterAutospacing="0"/>
              <w:jc w:val="both"/>
              <w:rPr>
                <w:rFonts w:ascii="Arial" w:hAnsi="Arial" w:cs="Arial"/>
                <w:sz w:val="22"/>
                <w:szCs w:val="22"/>
              </w:rPr>
            </w:pPr>
            <w:r w:rsidRPr="00864DC2">
              <w:rPr>
                <w:rFonts w:ascii="Arial" w:hAnsi="Arial" w:cs="Arial"/>
                <w:sz w:val="22"/>
                <w:szCs w:val="22"/>
              </w:rPr>
              <w:t xml:space="preserve">Dotčenými subjekty, na které má navrhovaná úprava dopad, jsou výrobny elektřiny, výrobny tepla, výrobny </w:t>
            </w:r>
            <w:proofErr w:type="spellStart"/>
            <w:r w:rsidRPr="00864DC2">
              <w:rPr>
                <w:rFonts w:ascii="Arial" w:hAnsi="Arial" w:cs="Arial"/>
                <w:sz w:val="22"/>
                <w:szCs w:val="22"/>
              </w:rPr>
              <w:t>biometanu</w:t>
            </w:r>
            <w:proofErr w:type="spellEnd"/>
            <w:r w:rsidRPr="00864DC2">
              <w:rPr>
                <w:rFonts w:ascii="Arial" w:hAnsi="Arial" w:cs="Arial"/>
                <w:sz w:val="22"/>
                <w:szCs w:val="22"/>
              </w:rPr>
              <w:t xml:space="preserve"> a výrobny vodíku. Vyhláška stanovuje jasná pravidla pro vydávání záruk původu a nakládání s nimi a nemá negativní dopady na podnikatelské prostředí, naopak umožní se zárukami původu obchodovat.</w:t>
            </w:r>
            <w:r w:rsidR="00770EDC" w:rsidRPr="00864DC2">
              <w:rPr>
                <w:rFonts w:ascii="Arial" w:eastAsia="Arial Unicode MS" w:hAnsi="Arial" w:cs="Arial"/>
                <w:bCs/>
                <w:sz w:val="22"/>
                <w:szCs w:val="22"/>
                <w:lang w:bidi="en-US"/>
              </w:rPr>
              <w:t xml:space="preserve">  </w:t>
            </w:r>
          </w:p>
        </w:tc>
      </w:tr>
      <w:tr w:rsidR="00E87502" w:rsidRPr="00E87502" w14:paraId="183C06EC" w14:textId="77777777" w:rsidTr="00282DA3">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single" w:sz="12" w:space="0" w:color="auto"/>
              <w:right w:val="single" w:sz="12" w:space="0" w:color="auto"/>
            </w:tcBorders>
            <w:shd w:val="clear" w:color="auto" w:fill="D6E3BC" w:themeFill="accent3" w:themeFillTint="66"/>
          </w:tcPr>
          <w:p w14:paraId="4F62B163" w14:textId="77777777" w:rsidR="000F4AD7" w:rsidRPr="00864DC2" w:rsidRDefault="000F4AD7" w:rsidP="003100E0">
            <w:pPr>
              <w:tabs>
                <w:tab w:val="left" w:pos="6660"/>
              </w:tabs>
              <w:rPr>
                <w:rFonts w:ascii="Arial" w:hAnsi="Arial" w:cs="Arial"/>
                <w:b/>
                <w:bCs/>
                <w:sz w:val="22"/>
                <w:szCs w:val="22"/>
              </w:rPr>
            </w:pPr>
            <w:r w:rsidRPr="00864DC2">
              <w:rPr>
                <w:rFonts w:ascii="Arial" w:hAnsi="Arial" w:cs="Arial"/>
                <w:b/>
                <w:bCs/>
                <w:sz w:val="22"/>
                <w:szCs w:val="22"/>
              </w:rPr>
              <w:t xml:space="preserve">3.4. Dopady na územní samosprávné celky (obce, kraje): NE </w:t>
            </w:r>
          </w:p>
        </w:tc>
      </w:tr>
      <w:tr w:rsidR="00E87502" w:rsidRPr="00E87502" w:rsidDel="007D15F9" w14:paraId="7165F7DA" w14:textId="77777777" w:rsidTr="003100E0">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single" w:sz="12" w:space="0" w:color="auto"/>
              <w:right w:val="single" w:sz="12" w:space="0" w:color="auto"/>
            </w:tcBorders>
            <w:shd w:val="clear" w:color="auto" w:fill="auto"/>
          </w:tcPr>
          <w:p w14:paraId="51E24B0C" w14:textId="77777777" w:rsidR="000F4AD7" w:rsidRPr="00864DC2" w:rsidDel="007D15F9" w:rsidRDefault="000F4AD7" w:rsidP="003100E0">
            <w:pPr>
              <w:tabs>
                <w:tab w:val="left" w:pos="6660"/>
              </w:tabs>
              <w:rPr>
                <w:rFonts w:ascii="Arial" w:hAnsi="Arial" w:cs="Arial"/>
                <w:b/>
                <w:bCs/>
                <w:sz w:val="22"/>
                <w:szCs w:val="22"/>
              </w:rPr>
            </w:pPr>
          </w:p>
        </w:tc>
      </w:tr>
      <w:tr w:rsidR="00E87502" w:rsidRPr="00E87502" w14:paraId="5B9627C4" w14:textId="77777777" w:rsidTr="00282DA3">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single" w:sz="12" w:space="0" w:color="auto"/>
              <w:right w:val="single" w:sz="12" w:space="0" w:color="auto"/>
            </w:tcBorders>
            <w:shd w:val="clear" w:color="auto" w:fill="D6E3BC" w:themeFill="accent3" w:themeFillTint="66"/>
          </w:tcPr>
          <w:p w14:paraId="6FE266FF" w14:textId="7F81F7DF" w:rsidR="000F4AD7" w:rsidRPr="00864DC2" w:rsidRDefault="000F4AD7" w:rsidP="003100E0">
            <w:pPr>
              <w:tabs>
                <w:tab w:val="left" w:pos="6660"/>
              </w:tabs>
              <w:rPr>
                <w:rFonts w:ascii="Arial" w:hAnsi="Arial" w:cs="Arial"/>
                <w:b/>
                <w:bCs/>
                <w:sz w:val="22"/>
                <w:szCs w:val="22"/>
              </w:rPr>
            </w:pPr>
            <w:r w:rsidRPr="00864DC2">
              <w:rPr>
                <w:rFonts w:ascii="Arial" w:hAnsi="Arial" w:cs="Arial"/>
                <w:b/>
                <w:bCs/>
                <w:sz w:val="22"/>
                <w:szCs w:val="22"/>
              </w:rPr>
              <w:t xml:space="preserve">3.5 Sociální dopady: </w:t>
            </w:r>
            <w:r w:rsidR="00E13F61" w:rsidRPr="00864DC2">
              <w:rPr>
                <w:rFonts w:ascii="Arial" w:hAnsi="Arial" w:cs="Arial"/>
                <w:b/>
                <w:bCs/>
                <w:sz w:val="22"/>
                <w:szCs w:val="22"/>
              </w:rPr>
              <w:t>NE</w:t>
            </w:r>
          </w:p>
        </w:tc>
      </w:tr>
      <w:tr w:rsidR="00E87502" w:rsidRPr="00E87502" w14:paraId="734E152C" w14:textId="77777777" w:rsidTr="003100E0">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single" w:sz="12" w:space="0" w:color="auto"/>
              <w:right w:val="single" w:sz="12" w:space="0" w:color="auto"/>
            </w:tcBorders>
            <w:shd w:val="clear" w:color="auto" w:fill="auto"/>
          </w:tcPr>
          <w:p w14:paraId="2988B8D7" w14:textId="1FD086A1" w:rsidR="00E13F61" w:rsidRPr="00864DC2" w:rsidRDefault="00E13F61" w:rsidP="0071068C">
            <w:pPr>
              <w:tabs>
                <w:tab w:val="left" w:pos="6660"/>
              </w:tabs>
              <w:spacing w:after="120" w:line="276" w:lineRule="auto"/>
              <w:jc w:val="both"/>
              <w:rPr>
                <w:rFonts w:ascii="Arial" w:hAnsi="Arial" w:cs="Arial"/>
                <w:b/>
                <w:bCs/>
                <w:sz w:val="22"/>
                <w:szCs w:val="22"/>
              </w:rPr>
            </w:pPr>
            <w:r w:rsidRPr="00864DC2">
              <w:rPr>
                <w:rFonts w:ascii="Arial" w:hAnsi="Arial" w:cs="Arial"/>
                <w:sz w:val="22"/>
                <w:szCs w:val="22"/>
              </w:rPr>
              <w:t>Návrh vyhlášky nepředpokládá sociální dopady.</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8"/>
            </w:tblGrid>
            <w:tr w:rsidR="00864DC2" w:rsidRPr="00864DC2" w14:paraId="45B66704" w14:textId="77777777" w:rsidTr="00282DA3">
              <w:trPr>
                <w:jc w:val="center"/>
              </w:trPr>
              <w:tc>
                <w:tcPr>
                  <w:tcW w:w="9648" w:type="dxa"/>
                  <w:tcBorders>
                    <w:top w:val="single" w:sz="4" w:space="0" w:color="auto"/>
                    <w:left w:val="single" w:sz="12" w:space="0" w:color="auto"/>
                    <w:bottom w:val="single" w:sz="12" w:space="0" w:color="auto"/>
                    <w:right w:val="single" w:sz="12" w:space="0" w:color="auto"/>
                  </w:tcBorders>
                  <w:shd w:val="clear" w:color="auto" w:fill="D6E3BC" w:themeFill="accent3" w:themeFillTint="66"/>
                </w:tcPr>
                <w:p w14:paraId="1C56B6FA" w14:textId="33C54EF3" w:rsidR="000F4AD7" w:rsidRPr="00864DC2" w:rsidRDefault="000F4AD7" w:rsidP="003100E0">
                  <w:pPr>
                    <w:tabs>
                      <w:tab w:val="left" w:pos="6660"/>
                    </w:tabs>
                    <w:rPr>
                      <w:rFonts w:ascii="Arial" w:hAnsi="Arial" w:cs="Arial"/>
                      <w:b/>
                      <w:bCs/>
                      <w:sz w:val="22"/>
                      <w:szCs w:val="22"/>
                    </w:rPr>
                  </w:pPr>
                  <w:r w:rsidRPr="00864DC2">
                    <w:rPr>
                      <w:rFonts w:ascii="Arial" w:hAnsi="Arial" w:cs="Arial"/>
                      <w:b/>
                      <w:bCs/>
                      <w:sz w:val="22"/>
                      <w:szCs w:val="22"/>
                    </w:rPr>
                    <w:t xml:space="preserve">3.6 Dopady na spotřebitele: </w:t>
                  </w:r>
                  <w:r w:rsidR="00B9359B" w:rsidRPr="00864DC2">
                    <w:rPr>
                      <w:rFonts w:ascii="Arial" w:hAnsi="Arial" w:cs="Arial"/>
                      <w:b/>
                      <w:bCs/>
                      <w:sz w:val="22"/>
                      <w:szCs w:val="22"/>
                    </w:rPr>
                    <w:t>NE</w:t>
                  </w:r>
                </w:p>
              </w:tc>
            </w:tr>
            <w:tr w:rsidR="00864DC2" w:rsidRPr="00864DC2" w14:paraId="4E54E189" w14:textId="77777777" w:rsidTr="003100E0">
              <w:trPr>
                <w:jc w:val="center"/>
              </w:trPr>
              <w:tc>
                <w:tcPr>
                  <w:tcW w:w="9648" w:type="dxa"/>
                  <w:tcBorders>
                    <w:top w:val="single" w:sz="4" w:space="0" w:color="auto"/>
                    <w:left w:val="single" w:sz="12" w:space="0" w:color="auto"/>
                    <w:bottom w:val="single" w:sz="12" w:space="0" w:color="auto"/>
                    <w:right w:val="single" w:sz="12" w:space="0" w:color="auto"/>
                  </w:tcBorders>
                  <w:shd w:val="clear" w:color="auto" w:fill="auto"/>
                </w:tcPr>
                <w:p w14:paraId="0A147839" w14:textId="2CB01A62" w:rsidR="00E13F61" w:rsidRPr="00864DC2" w:rsidRDefault="00E13F61" w:rsidP="0071068C">
                  <w:pPr>
                    <w:tabs>
                      <w:tab w:val="left" w:pos="6660"/>
                    </w:tabs>
                    <w:spacing w:after="120" w:line="276" w:lineRule="auto"/>
                    <w:jc w:val="both"/>
                    <w:rPr>
                      <w:rFonts w:ascii="Arial" w:hAnsi="Arial" w:cs="Arial"/>
                      <w:b/>
                      <w:bCs/>
                      <w:sz w:val="22"/>
                      <w:szCs w:val="22"/>
                    </w:rPr>
                  </w:pPr>
                  <w:r w:rsidRPr="00864DC2">
                    <w:rPr>
                      <w:rFonts w:ascii="Arial" w:hAnsi="Arial" w:cs="Arial"/>
                      <w:sz w:val="22"/>
                      <w:szCs w:val="22"/>
                    </w:rPr>
                    <w:t>Návrh vyhlášky nepředpokládá dopady na spotřebitele.</w:t>
                  </w:r>
                </w:p>
              </w:tc>
            </w:tr>
          </w:tbl>
          <w:p w14:paraId="295D1728" w14:textId="77777777" w:rsidR="000F4AD7" w:rsidRPr="00864DC2" w:rsidRDefault="000F4AD7" w:rsidP="003100E0">
            <w:pPr>
              <w:tabs>
                <w:tab w:val="left" w:pos="6660"/>
              </w:tabs>
              <w:rPr>
                <w:rFonts w:ascii="Arial" w:hAnsi="Arial" w:cs="Arial"/>
                <w:b/>
                <w:bCs/>
                <w:sz w:val="22"/>
                <w:szCs w:val="22"/>
              </w:rPr>
            </w:pPr>
          </w:p>
        </w:tc>
      </w:tr>
      <w:tr w:rsidR="00E87502" w:rsidRPr="00E87502" w14:paraId="3030539A" w14:textId="77777777" w:rsidTr="008134F2">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single" w:sz="12" w:space="0" w:color="auto"/>
              <w:right w:val="single" w:sz="12" w:space="0" w:color="auto"/>
            </w:tcBorders>
            <w:shd w:val="clear" w:color="auto" w:fill="D6E3BC" w:themeFill="accent3" w:themeFillTint="66"/>
          </w:tcPr>
          <w:p w14:paraId="158F294E" w14:textId="0229A68C" w:rsidR="000F4AD7" w:rsidRPr="00864DC2" w:rsidRDefault="000F4AD7" w:rsidP="00770EDC">
            <w:pPr>
              <w:tabs>
                <w:tab w:val="left" w:pos="6660"/>
              </w:tabs>
              <w:rPr>
                <w:rFonts w:ascii="Arial" w:hAnsi="Arial" w:cs="Arial"/>
                <w:b/>
                <w:bCs/>
                <w:sz w:val="22"/>
                <w:szCs w:val="22"/>
              </w:rPr>
            </w:pPr>
            <w:r w:rsidRPr="00864DC2">
              <w:rPr>
                <w:rFonts w:ascii="Arial" w:hAnsi="Arial" w:cs="Arial"/>
                <w:b/>
                <w:bCs/>
                <w:sz w:val="22"/>
                <w:szCs w:val="22"/>
              </w:rPr>
              <w:t xml:space="preserve">3.7 Dopady na životní prostředí: </w:t>
            </w:r>
            <w:r w:rsidR="001D791A" w:rsidRPr="00864DC2">
              <w:rPr>
                <w:rFonts w:ascii="Arial" w:hAnsi="Arial" w:cs="Arial"/>
                <w:b/>
                <w:bCs/>
                <w:sz w:val="22"/>
                <w:szCs w:val="22"/>
              </w:rPr>
              <w:t>ANO</w:t>
            </w:r>
          </w:p>
        </w:tc>
      </w:tr>
      <w:tr w:rsidR="00E87502" w:rsidRPr="00E87502" w14:paraId="2F018F06" w14:textId="77777777" w:rsidTr="00EA3CEC">
        <w:tblPrEx>
          <w:tblBorders>
            <w:top w:val="single" w:sz="4" w:space="0" w:color="auto"/>
            <w:left w:val="single" w:sz="4" w:space="0" w:color="auto"/>
            <w:bottom w:val="single" w:sz="4" w:space="0" w:color="auto"/>
            <w:right w:val="single" w:sz="4" w:space="0" w:color="auto"/>
          </w:tblBorders>
        </w:tblPrEx>
        <w:trPr>
          <w:trHeight w:val="2942"/>
          <w:jc w:val="center"/>
        </w:trPr>
        <w:tc>
          <w:tcPr>
            <w:tcW w:w="9648" w:type="dxa"/>
            <w:gridSpan w:val="2"/>
            <w:tcBorders>
              <w:top w:val="single" w:sz="4" w:space="0" w:color="auto"/>
              <w:left w:val="single" w:sz="12" w:space="0" w:color="auto"/>
              <w:bottom w:val="single" w:sz="12" w:space="0" w:color="auto"/>
              <w:right w:val="single" w:sz="12" w:space="0" w:color="auto"/>
            </w:tcBorders>
            <w:shd w:val="clear" w:color="auto" w:fill="auto"/>
          </w:tcPr>
          <w:p w14:paraId="1A6BCD87" w14:textId="3721E803" w:rsidR="00CA0A9D" w:rsidRPr="00864DC2" w:rsidRDefault="001D791A" w:rsidP="00770EDC">
            <w:pPr>
              <w:jc w:val="both"/>
              <w:rPr>
                <w:rFonts w:ascii="Arial" w:hAnsi="Arial" w:cs="Arial"/>
                <w:sz w:val="22"/>
                <w:szCs w:val="22"/>
              </w:rPr>
            </w:pPr>
            <w:bookmarkStart w:id="2" w:name="_Hlk88566309"/>
            <w:r w:rsidRPr="00864DC2">
              <w:rPr>
                <w:rFonts w:ascii="Arial" w:hAnsi="Arial" w:cs="Arial"/>
                <w:sz w:val="22"/>
                <w:szCs w:val="22"/>
              </w:rPr>
              <w:t>Nárůst počtu podporovaných zdrojů energie, zejména pak obnovitelných zdrojů, které využívají nefosilní paliva, má pozitivní vliv zejména na ovzduší, protože tyto zdroje neprodukují škodlivé látky. Umožnění rozvoje efektivních výroben využívajících obnovitelné zdroje energie a další podporované zdroje má pozitivní dopady na životní prostředí.</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8"/>
            </w:tblGrid>
            <w:tr w:rsidR="00864DC2" w:rsidRPr="00864DC2" w14:paraId="218495A6" w14:textId="77777777" w:rsidTr="008134F2">
              <w:trPr>
                <w:jc w:val="center"/>
              </w:trPr>
              <w:tc>
                <w:tcPr>
                  <w:tcW w:w="9648" w:type="dxa"/>
                  <w:tcBorders>
                    <w:top w:val="single" w:sz="4" w:space="0" w:color="auto"/>
                    <w:left w:val="single" w:sz="12" w:space="0" w:color="auto"/>
                    <w:bottom w:val="single" w:sz="12" w:space="0" w:color="auto"/>
                    <w:right w:val="single" w:sz="12" w:space="0" w:color="auto"/>
                  </w:tcBorders>
                  <w:shd w:val="clear" w:color="auto" w:fill="D6E3BC" w:themeFill="accent3" w:themeFillTint="66"/>
                </w:tcPr>
                <w:bookmarkEnd w:id="2"/>
                <w:p w14:paraId="1E5E44DD" w14:textId="07D8A03F" w:rsidR="000F4AD7" w:rsidRPr="00864DC2" w:rsidRDefault="000F4AD7" w:rsidP="003100E0">
                  <w:pPr>
                    <w:tabs>
                      <w:tab w:val="left" w:pos="6660"/>
                    </w:tabs>
                    <w:rPr>
                      <w:rFonts w:ascii="Arial" w:hAnsi="Arial" w:cs="Arial"/>
                      <w:b/>
                      <w:bCs/>
                      <w:sz w:val="22"/>
                      <w:szCs w:val="22"/>
                    </w:rPr>
                  </w:pPr>
                  <w:r w:rsidRPr="00864DC2">
                    <w:rPr>
                      <w:rFonts w:ascii="Arial" w:hAnsi="Arial" w:cs="Arial"/>
                      <w:b/>
                      <w:bCs/>
                      <w:sz w:val="22"/>
                      <w:szCs w:val="22"/>
                    </w:rPr>
                    <w:t>3.8 Dopady ve vztahu k zákazu diskriminace a ve vztahu k rovnosti žen a mužů: N</w:t>
                  </w:r>
                  <w:r w:rsidR="00580D09" w:rsidRPr="00864DC2">
                    <w:rPr>
                      <w:rFonts w:ascii="Arial" w:hAnsi="Arial" w:cs="Arial"/>
                      <w:b/>
                      <w:bCs/>
                      <w:sz w:val="22"/>
                      <w:szCs w:val="22"/>
                    </w:rPr>
                    <w:t>E</w:t>
                  </w:r>
                  <w:r w:rsidRPr="00864DC2">
                    <w:rPr>
                      <w:rFonts w:ascii="Arial" w:hAnsi="Arial" w:cs="Arial"/>
                      <w:b/>
                      <w:bCs/>
                      <w:sz w:val="22"/>
                      <w:szCs w:val="22"/>
                    </w:rPr>
                    <w:t xml:space="preserve"> </w:t>
                  </w:r>
                </w:p>
              </w:tc>
            </w:tr>
            <w:tr w:rsidR="00864DC2" w:rsidRPr="00864DC2" w14:paraId="24D545F5" w14:textId="77777777" w:rsidTr="00EA3CEC">
              <w:trPr>
                <w:trHeight w:val="2801"/>
                <w:jc w:val="center"/>
              </w:trPr>
              <w:tc>
                <w:tcPr>
                  <w:tcW w:w="9648" w:type="dxa"/>
                  <w:tcBorders>
                    <w:top w:val="single" w:sz="4" w:space="0" w:color="auto"/>
                    <w:left w:val="single" w:sz="12" w:space="0" w:color="auto"/>
                    <w:bottom w:val="single" w:sz="12" w:space="0" w:color="auto"/>
                    <w:right w:val="single" w:sz="12" w:space="0" w:color="auto"/>
                  </w:tcBorders>
                  <w:shd w:val="clear" w:color="auto" w:fill="auto"/>
                </w:tcPr>
                <w:p w14:paraId="7B834287" w14:textId="1D266FC0" w:rsidR="00CA0A9D" w:rsidRPr="00864DC2" w:rsidRDefault="001D791A" w:rsidP="001D791A">
                  <w:pPr>
                    <w:pStyle w:val="Normlnweb"/>
                    <w:tabs>
                      <w:tab w:val="left" w:pos="9072"/>
                    </w:tabs>
                    <w:spacing w:before="0" w:beforeAutospacing="0" w:after="0" w:afterAutospacing="0"/>
                    <w:jc w:val="both"/>
                    <w:rPr>
                      <w:rFonts w:ascii="Arial" w:hAnsi="Arial" w:cs="Arial"/>
                      <w:sz w:val="22"/>
                      <w:szCs w:val="22"/>
                    </w:rPr>
                  </w:pPr>
                  <w:r w:rsidRPr="00864DC2">
                    <w:rPr>
                      <w:rFonts w:ascii="Arial" w:hAnsi="Arial" w:cs="Arial"/>
                      <w:sz w:val="22"/>
                      <w:szCs w:val="22"/>
                    </w:rPr>
                    <w:t>Navrhovaná vyhláška nemá negativní vliv na rovné postavení mužů a žen, nemá negativní vliv na osoby sociálně slabé či osoby se zdravotním postižením ani na národnostní menšiny. Navrhovaná vyhláška, resp. jí předkládaný návrh řešení, není v rozporu se zásadou zákazu diskriminace. Jde o předpis, který se výhradně dotýká podnikatelských subjektů a nelze předpokládat, že by důsledkem přijetí předkládaného materiálu mohla být přímá či nepřímá diskriminace nebo narušení rovnosti mužů a žen.</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8"/>
                  </w:tblGrid>
                  <w:tr w:rsidR="00864DC2" w:rsidRPr="00864DC2" w14:paraId="252F9B79" w14:textId="77777777" w:rsidTr="008134F2">
                    <w:trPr>
                      <w:jc w:val="center"/>
                    </w:trPr>
                    <w:tc>
                      <w:tcPr>
                        <w:tcW w:w="9648" w:type="dxa"/>
                        <w:tcBorders>
                          <w:top w:val="single" w:sz="4" w:space="0" w:color="auto"/>
                          <w:left w:val="single" w:sz="12" w:space="0" w:color="auto"/>
                          <w:bottom w:val="single" w:sz="12" w:space="0" w:color="auto"/>
                          <w:right w:val="single" w:sz="12" w:space="0" w:color="auto"/>
                        </w:tcBorders>
                        <w:shd w:val="clear" w:color="auto" w:fill="D6E3BC" w:themeFill="accent3" w:themeFillTint="66"/>
                      </w:tcPr>
                      <w:p w14:paraId="6B6F3ACC" w14:textId="33F2871A" w:rsidR="000F4AD7" w:rsidRPr="00864DC2" w:rsidRDefault="000F4AD7" w:rsidP="003100E0">
                        <w:pPr>
                          <w:tabs>
                            <w:tab w:val="left" w:pos="6660"/>
                          </w:tabs>
                          <w:rPr>
                            <w:rFonts w:ascii="Arial" w:hAnsi="Arial" w:cs="Arial"/>
                            <w:b/>
                            <w:bCs/>
                            <w:sz w:val="22"/>
                            <w:szCs w:val="22"/>
                          </w:rPr>
                        </w:pPr>
                        <w:r w:rsidRPr="00864DC2">
                          <w:rPr>
                            <w:rFonts w:ascii="Arial" w:hAnsi="Arial" w:cs="Arial"/>
                            <w:b/>
                            <w:bCs/>
                            <w:sz w:val="22"/>
                            <w:szCs w:val="22"/>
                          </w:rPr>
                          <w:t>3.9 Dopady na výkon státní statistické služby: N</w:t>
                        </w:r>
                        <w:r w:rsidR="00580D09" w:rsidRPr="00864DC2">
                          <w:rPr>
                            <w:rFonts w:ascii="Arial" w:hAnsi="Arial" w:cs="Arial"/>
                            <w:b/>
                            <w:bCs/>
                            <w:sz w:val="22"/>
                            <w:szCs w:val="22"/>
                          </w:rPr>
                          <w:t>E</w:t>
                        </w:r>
                      </w:p>
                    </w:tc>
                  </w:tr>
                  <w:tr w:rsidR="00864DC2" w:rsidRPr="00864DC2" w14:paraId="5719290B" w14:textId="77777777" w:rsidTr="003100E0">
                    <w:trPr>
                      <w:trHeight w:val="2322"/>
                      <w:jc w:val="center"/>
                    </w:trPr>
                    <w:tc>
                      <w:tcPr>
                        <w:tcW w:w="9648" w:type="dxa"/>
                        <w:tcBorders>
                          <w:top w:val="single" w:sz="4" w:space="0" w:color="auto"/>
                          <w:left w:val="single" w:sz="12" w:space="0" w:color="auto"/>
                          <w:bottom w:val="single" w:sz="12" w:space="0" w:color="auto"/>
                          <w:right w:val="single" w:sz="12" w:space="0" w:color="auto"/>
                        </w:tcBorders>
                        <w:shd w:val="clear" w:color="auto" w:fill="auto"/>
                      </w:tcPr>
                      <w:p w14:paraId="2E6C3212" w14:textId="646B8050" w:rsidR="000F4AD7" w:rsidRPr="00864DC2" w:rsidRDefault="000F4AD7" w:rsidP="003100E0">
                        <w:pPr>
                          <w:tabs>
                            <w:tab w:val="left" w:pos="6660"/>
                          </w:tabs>
                          <w:rPr>
                            <w:rFonts w:ascii="Arial" w:hAnsi="Arial" w:cs="Arial"/>
                            <w:b/>
                            <w:bCs/>
                            <w:sz w:val="22"/>
                            <w:szCs w:val="22"/>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8"/>
                        </w:tblGrid>
                        <w:tr w:rsidR="00864DC2" w:rsidRPr="00864DC2" w14:paraId="5F836320" w14:textId="77777777" w:rsidTr="008134F2">
                          <w:trPr>
                            <w:jc w:val="center"/>
                          </w:trPr>
                          <w:tc>
                            <w:tcPr>
                              <w:tcW w:w="9648" w:type="dxa"/>
                              <w:tcBorders>
                                <w:top w:val="single" w:sz="4" w:space="0" w:color="auto"/>
                                <w:left w:val="single" w:sz="12" w:space="0" w:color="auto"/>
                                <w:bottom w:val="single" w:sz="12" w:space="0" w:color="auto"/>
                                <w:right w:val="single" w:sz="12" w:space="0" w:color="auto"/>
                              </w:tcBorders>
                              <w:shd w:val="clear" w:color="auto" w:fill="D6E3BC" w:themeFill="accent3" w:themeFillTint="66"/>
                            </w:tcPr>
                            <w:p w14:paraId="07C9B076" w14:textId="7CFCFFEC" w:rsidR="000F4AD7" w:rsidRPr="00864DC2" w:rsidRDefault="000F4AD7" w:rsidP="003100E0">
                              <w:pPr>
                                <w:tabs>
                                  <w:tab w:val="left" w:pos="6660"/>
                                </w:tabs>
                                <w:rPr>
                                  <w:rFonts w:ascii="Arial" w:hAnsi="Arial" w:cs="Arial"/>
                                  <w:b/>
                                  <w:bCs/>
                                  <w:sz w:val="22"/>
                                  <w:szCs w:val="22"/>
                                </w:rPr>
                              </w:pPr>
                              <w:r w:rsidRPr="00864DC2">
                                <w:rPr>
                                  <w:rFonts w:ascii="Arial" w:hAnsi="Arial" w:cs="Arial"/>
                                  <w:b/>
                                  <w:bCs/>
                                  <w:sz w:val="22"/>
                                  <w:szCs w:val="22"/>
                                </w:rPr>
                                <w:t>3.10 Korupční rizika: N</w:t>
                              </w:r>
                              <w:r w:rsidR="00580D09" w:rsidRPr="00864DC2">
                                <w:rPr>
                                  <w:rFonts w:ascii="Arial" w:hAnsi="Arial" w:cs="Arial"/>
                                  <w:b/>
                                  <w:bCs/>
                                  <w:sz w:val="22"/>
                                  <w:szCs w:val="22"/>
                                </w:rPr>
                                <w:t>E</w:t>
                              </w:r>
                              <w:r w:rsidRPr="00864DC2">
                                <w:rPr>
                                  <w:rFonts w:ascii="Arial" w:hAnsi="Arial" w:cs="Arial"/>
                                  <w:b/>
                                  <w:bCs/>
                                  <w:sz w:val="22"/>
                                  <w:szCs w:val="22"/>
                                </w:rPr>
                                <w:t xml:space="preserve"> </w:t>
                              </w:r>
                            </w:p>
                          </w:tc>
                        </w:tr>
                        <w:tr w:rsidR="00864DC2" w:rsidRPr="00864DC2" w14:paraId="4389B443" w14:textId="77777777" w:rsidTr="003100E0">
                          <w:trPr>
                            <w:trHeight w:val="1399"/>
                            <w:jc w:val="center"/>
                          </w:trPr>
                          <w:tc>
                            <w:tcPr>
                              <w:tcW w:w="9648" w:type="dxa"/>
                              <w:tcBorders>
                                <w:top w:val="single" w:sz="4" w:space="0" w:color="auto"/>
                                <w:left w:val="single" w:sz="12" w:space="0" w:color="auto"/>
                                <w:bottom w:val="single" w:sz="12" w:space="0" w:color="auto"/>
                                <w:right w:val="single" w:sz="12" w:space="0" w:color="auto"/>
                              </w:tcBorders>
                              <w:shd w:val="clear" w:color="auto" w:fill="auto"/>
                            </w:tcPr>
                            <w:p w14:paraId="1BA60857" w14:textId="33FAA74E" w:rsidR="00CA0A9D" w:rsidRPr="00864DC2" w:rsidRDefault="001D791A" w:rsidP="00770EDC">
                              <w:pPr>
                                <w:jc w:val="both"/>
                                <w:rPr>
                                  <w:rFonts w:ascii="Arial" w:hAnsi="Arial" w:cs="Arial"/>
                                  <w:sz w:val="22"/>
                                  <w:szCs w:val="22"/>
                                </w:rPr>
                              </w:pPr>
                              <w:r w:rsidRPr="00864DC2">
                                <w:rPr>
                                  <w:rFonts w:ascii="Arial" w:hAnsi="Arial" w:cs="Arial"/>
                                  <w:sz w:val="22"/>
                                  <w:szCs w:val="22"/>
                                </w:rPr>
                                <w:t xml:space="preserve">Návrh vyhlášky nepředpokládá založení korupčních rizik ani jejich nárůst. Smyslem navrhované právní úpravy je kromě jiného tato korupční rizika omezit, a to tím, že budou upřesněny povinnosti a postupy, které stanoví zákon </w:t>
                              </w:r>
                              <w:r w:rsidR="00B703AF">
                                <w:rPr>
                                  <w:rFonts w:ascii="Arial" w:hAnsi="Arial" w:cs="Arial"/>
                                  <w:sz w:val="22"/>
                                  <w:szCs w:val="22"/>
                                </w:rPr>
                                <w:t xml:space="preserve">o podporovaných zdrojích energie. </w:t>
                              </w:r>
                              <w:r w:rsidRPr="00864DC2">
                                <w:rPr>
                                  <w:rFonts w:ascii="Arial" w:hAnsi="Arial" w:cs="Arial"/>
                                  <w:sz w:val="22"/>
                                  <w:szCs w:val="22"/>
                                </w:rPr>
                                <w:t xml:space="preserve"> </w:t>
                              </w:r>
                              <w:r w:rsidR="00770EDC" w:rsidRPr="00864DC2">
                                <w:rPr>
                                  <w:rFonts w:ascii="Arial" w:hAnsi="Arial" w:cs="Arial"/>
                                  <w:sz w:val="22"/>
                                  <w:szCs w:val="22"/>
                                </w:rPr>
                                <w:t xml:space="preserve"> </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8"/>
                              </w:tblGrid>
                              <w:tr w:rsidR="00864DC2" w:rsidRPr="00864DC2" w14:paraId="2D60C4BD" w14:textId="77777777" w:rsidTr="008134F2">
                                <w:trPr>
                                  <w:jc w:val="center"/>
                                </w:trPr>
                                <w:tc>
                                  <w:tcPr>
                                    <w:tcW w:w="9648" w:type="dxa"/>
                                    <w:tcBorders>
                                      <w:top w:val="single" w:sz="4" w:space="0" w:color="auto"/>
                                      <w:left w:val="single" w:sz="12" w:space="0" w:color="auto"/>
                                      <w:bottom w:val="single" w:sz="12" w:space="0" w:color="auto"/>
                                      <w:right w:val="single" w:sz="12" w:space="0" w:color="auto"/>
                                    </w:tcBorders>
                                    <w:shd w:val="clear" w:color="auto" w:fill="D6E3BC" w:themeFill="accent3" w:themeFillTint="66"/>
                                  </w:tcPr>
                                  <w:p w14:paraId="6CFFD379" w14:textId="52476DA9" w:rsidR="000F4AD7" w:rsidRPr="00864DC2" w:rsidRDefault="000F4AD7" w:rsidP="003100E0">
                                    <w:pPr>
                                      <w:tabs>
                                        <w:tab w:val="left" w:pos="6660"/>
                                      </w:tabs>
                                      <w:rPr>
                                        <w:rFonts w:ascii="Arial" w:hAnsi="Arial" w:cs="Arial"/>
                                        <w:b/>
                                        <w:bCs/>
                                        <w:sz w:val="22"/>
                                        <w:szCs w:val="22"/>
                                      </w:rPr>
                                    </w:pPr>
                                    <w:r w:rsidRPr="00864DC2">
                                      <w:rPr>
                                        <w:rFonts w:ascii="Arial" w:hAnsi="Arial" w:cs="Arial"/>
                                        <w:b/>
                                        <w:bCs/>
                                        <w:sz w:val="22"/>
                                        <w:szCs w:val="22"/>
                                      </w:rPr>
                                      <w:t>3.11 Dopady na bezpečnost nebo obranu státu: N</w:t>
                                    </w:r>
                                    <w:r w:rsidR="00580D09" w:rsidRPr="00864DC2">
                                      <w:rPr>
                                        <w:rFonts w:ascii="Arial" w:hAnsi="Arial" w:cs="Arial"/>
                                        <w:b/>
                                        <w:bCs/>
                                        <w:sz w:val="22"/>
                                        <w:szCs w:val="22"/>
                                      </w:rPr>
                                      <w:t>E</w:t>
                                    </w:r>
                                    <w:r w:rsidRPr="00864DC2">
                                      <w:rPr>
                                        <w:rFonts w:ascii="Arial" w:hAnsi="Arial" w:cs="Arial"/>
                                        <w:b/>
                                        <w:bCs/>
                                        <w:sz w:val="22"/>
                                        <w:szCs w:val="22"/>
                                      </w:rPr>
                                      <w:t xml:space="preserve"> </w:t>
                                    </w:r>
                                  </w:p>
                                </w:tc>
                              </w:tr>
                              <w:tr w:rsidR="00864DC2" w:rsidRPr="00864DC2" w14:paraId="4C6DB596" w14:textId="77777777" w:rsidTr="003100E0">
                                <w:trPr>
                                  <w:trHeight w:val="281"/>
                                  <w:jc w:val="center"/>
                                </w:trPr>
                                <w:tc>
                                  <w:tcPr>
                                    <w:tcW w:w="9648" w:type="dxa"/>
                                    <w:tcBorders>
                                      <w:top w:val="single" w:sz="4" w:space="0" w:color="auto"/>
                                      <w:left w:val="single" w:sz="12" w:space="0" w:color="auto"/>
                                      <w:bottom w:val="single" w:sz="12" w:space="0" w:color="auto"/>
                                      <w:right w:val="single" w:sz="12" w:space="0" w:color="auto"/>
                                    </w:tcBorders>
                                    <w:shd w:val="clear" w:color="auto" w:fill="auto"/>
                                  </w:tcPr>
                                  <w:p w14:paraId="63B25B84" w14:textId="325DDD96" w:rsidR="000F4AD7" w:rsidRPr="00864DC2" w:rsidRDefault="001D791A" w:rsidP="0018518F">
                                    <w:pPr>
                                      <w:jc w:val="both"/>
                                      <w:rPr>
                                        <w:rFonts w:ascii="Arial" w:hAnsi="Arial" w:cs="Arial"/>
                                        <w:sz w:val="22"/>
                                        <w:szCs w:val="22"/>
                                      </w:rPr>
                                    </w:pPr>
                                    <w:r w:rsidRPr="00864DC2">
                                      <w:rPr>
                                        <w:rFonts w:ascii="Arial" w:eastAsia="Arial Unicode MS" w:hAnsi="Arial" w:cs="Arial"/>
                                        <w:bCs/>
                                        <w:sz w:val="22"/>
                                        <w:szCs w:val="22"/>
                                        <w:lang w:bidi="en-US"/>
                                      </w:rPr>
                                      <w:t xml:space="preserve">Všechny práva a povinnosti výrobců, distributorů i spotřebitelů stanoví energetický zákon č. 458/2000 Sb. a v případě obnovitelných zdrojů také zákon </w:t>
                                    </w:r>
                                    <w:r w:rsidR="00B703AF">
                                      <w:rPr>
                                        <w:rFonts w:ascii="Arial" w:eastAsia="Arial Unicode MS" w:hAnsi="Arial" w:cs="Arial"/>
                                        <w:bCs/>
                                        <w:sz w:val="22"/>
                                        <w:szCs w:val="22"/>
                                        <w:lang w:bidi="en-US"/>
                                      </w:rPr>
                                      <w:t>o podporovaných zdrojích energie</w:t>
                                    </w:r>
                                    <w:r w:rsidRPr="00864DC2">
                                      <w:rPr>
                                        <w:rFonts w:ascii="Arial" w:eastAsia="Arial Unicode MS" w:hAnsi="Arial" w:cs="Arial"/>
                                        <w:bCs/>
                                        <w:sz w:val="22"/>
                                        <w:szCs w:val="22"/>
                                        <w:lang w:bidi="en-US"/>
                                      </w:rPr>
                                      <w:t xml:space="preserve">. Předkládaný návrh vyhlášky upravuje </w:t>
                                    </w:r>
                                    <w:r w:rsidRPr="00864DC2">
                                      <w:rPr>
                                        <w:rFonts w:ascii="Arial" w:hAnsi="Arial" w:cs="Arial"/>
                                        <w:sz w:val="22"/>
                                        <w:szCs w:val="22"/>
                                      </w:rPr>
                                      <w:t xml:space="preserve">stanovení záruk původu energie a pravidla pro jejich evidenci a nakládání s nimi. </w:t>
                                    </w:r>
                                    <w:r w:rsidRPr="00864DC2">
                                      <w:rPr>
                                        <w:rFonts w:ascii="Arial" w:eastAsia="Arial Unicode MS" w:hAnsi="Arial" w:cs="Arial"/>
                                        <w:bCs/>
                                        <w:sz w:val="22"/>
                                        <w:szCs w:val="22"/>
                                        <w:lang w:bidi="en-US"/>
                                      </w:rPr>
                                      <w:t xml:space="preserve">Navrhovaná právní </w:t>
                                    </w:r>
                                    <w:r w:rsidR="00B703AF">
                                      <w:rPr>
                                        <w:rFonts w:ascii="Arial" w:eastAsia="Arial Unicode MS" w:hAnsi="Arial" w:cs="Arial"/>
                                        <w:bCs/>
                                        <w:sz w:val="22"/>
                                        <w:szCs w:val="22"/>
                                        <w:lang w:bidi="en-US"/>
                                      </w:rPr>
                                      <w:t>úprava</w:t>
                                    </w:r>
                                    <w:r w:rsidR="0018518F">
                                      <w:rPr>
                                        <w:rFonts w:ascii="Arial" w:eastAsia="Arial Unicode MS" w:hAnsi="Arial" w:cs="Arial"/>
                                        <w:bCs/>
                                        <w:sz w:val="22"/>
                                        <w:szCs w:val="22"/>
                                        <w:lang w:bidi="en-US"/>
                                      </w:rPr>
                                      <w:t xml:space="preserve"> </w:t>
                                    </w:r>
                                    <w:r w:rsidRPr="00864DC2">
                                      <w:rPr>
                                        <w:rFonts w:ascii="Arial" w:hAnsi="Arial" w:cs="Arial"/>
                                        <w:sz w:val="22"/>
                                        <w:szCs w:val="22"/>
                                      </w:rPr>
                                      <w:t>nemá dopad na bezpečnost nebo obranu státu.</w:t>
                                    </w:r>
                                  </w:p>
                                </w:tc>
                              </w:tr>
                            </w:tbl>
                            <w:p w14:paraId="27DC2525" w14:textId="77777777" w:rsidR="000F4AD7" w:rsidRPr="00864DC2" w:rsidRDefault="000F4AD7" w:rsidP="003100E0">
                              <w:pPr>
                                <w:tabs>
                                  <w:tab w:val="left" w:pos="6660"/>
                                </w:tabs>
                                <w:rPr>
                                  <w:rFonts w:ascii="Arial" w:hAnsi="Arial" w:cs="Arial"/>
                                  <w:b/>
                                  <w:bCs/>
                                  <w:sz w:val="22"/>
                                  <w:szCs w:val="22"/>
                                </w:rPr>
                              </w:pPr>
                            </w:p>
                          </w:tc>
                        </w:tr>
                      </w:tbl>
                      <w:p w14:paraId="14D5548C" w14:textId="77777777" w:rsidR="000F4AD7" w:rsidRPr="00864DC2" w:rsidRDefault="000F4AD7" w:rsidP="003100E0">
                        <w:pPr>
                          <w:tabs>
                            <w:tab w:val="left" w:pos="6660"/>
                          </w:tabs>
                          <w:rPr>
                            <w:rFonts w:ascii="Arial" w:hAnsi="Arial" w:cs="Arial"/>
                            <w:b/>
                            <w:bCs/>
                            <w:sz w:val="22"/>
                            <w:szCs w:val="22"/>
                          </w:rPr>
                        </w:pPr>
                      </w:p>
                    </w:tc>
                  </w:tr>
                </w:tbl>
                <w:p w14:paraId="7B486EF2" w14:textId="77777777" w:rsidR="000F4AD7" w:rsidRPr="00864DC2" w:rsidRDefault="000F4AD7" w:rsidP="003100E0">
                  <w:pPr>
                    <w:tabs>
                      <w:tab w:val="left" w:pos="6660"/>
                    </w:tabs>
                    <w:rPr>
                      <w:rFonts w:ascii="Arial" w:hAnsi="Arial" w:cs="Arial"/>
                      <w:b/>
                      <w:bCs/>
                      <w:sz w:val="22"/>
                      <w:szCs w:val="22"/>
                    </w:rPr>
                  </w:pPr>
                </w:p>
              </w:tc>
            </w:tr>
          </w:tbl>
          <w:p w14:paraId="24E98E37" w14:textId="77777777" w:rsidR="000F4AD7" w:rsidRPr="00864DC2" w:rsidRDefault="000F4AD7" w:rsidP="003100E0">
            <w:pPr>
              <w:tabs>
                <w:tab w:val="left" w:pos="6660"/>
              </w:tabs>
              <w:rPr>
                <w:rFonts w:ascii="Arial" w:hAnsi="Arial" w:cs="Arial"/>
                <w:b/>
                <w:bCs/>
                <w:sz w:val="22"/>
                <w:szCs w:val="22"/>
              </w:rPr>
            </w:pPr>
          </w:p>
        </w:tc>
      </w:tr>
    </w:tbl>
    <w:p w14:paraId="3685B164" w14:textId="41F32544" w:rsidR="00E966FC" w:rsidRDefault="00E966FC" w:rsidP="00E966FC">
      <w:pPr>
        <w:pStyle w:val="Odstavecseseznamem"/>
        <w:suppressAutoHyphens/>
        <w:ind w:left="426"/>
        <w:jc w:val="both"/>
        <w:rPr>
          <w:rFonts w:ascii="Arial" w:hAnsi="Arial" w:cs="Arial"/>
          <w:b/>
          <w:caps/>
          <w:sz w:val="22"/>
          <w:szCs w:val="22"/>
          <w:lang w:eastAsia="ar-SA"/>
        </w:rPr>
      </w:pPr>
    </w:p>
    <w:p w14:paraId="36B06945" w14:textId="28C34BA4" w:rsidR="00E966FC" w:rsidRDefault="00E966FC" w:rsidP="00E966FC">
      <w:pPr>
        <w:pStyle w:val="Odstavecseseznamem"/>
        <w:suppressAutoHyphens/>
        <w:ind w:left="426"/>
        <w:jc w:val="both"/>
        <w:rPr>
          <w:rFonts w:ascii="Arial" w:hAnsi="Arial" w:cs="Arial"/>
          <w:b/>
          <w:caps/>
          <w:sz w:val="22"/>
          <w:szCs w:val="22"/>
          <w:lang w:eastAsia="ar-SA"/>
        </w:rPr>
      </w:pPr>
    </w:p>
    <w:p w14:paraId="6739A8AB" w14:textId="77777777" w:rsidR="00E966FC" w:rsidRPr="00E966FC" w:rsidRDefault="00E966FC" w:rsidP="00E966FC">
      <w:pPr>
        <w:pStyle w:val="Odstavecseseznamem"/>
        <w:suppressAutoHyphens/>
        <w:ind w:left="426"/>
        <w:jc w:val="both"/>
        <w:rPr>
          <w:rFonts w:ascii="Arial" w:hAnsi="Arial" w:cs="Arial"/>
          <w:b/>
          <w:caps/>
          <w:sz w:val="22"/>
          <w:szCs w:val="22"/>
          <w:lang w:eastAsia="ar-SA"/>
        </w:rPr>
      </w:pPr>
    </w:p>
    <w:p w14:paraId="2F200EC5" w14:textId="4E886998" w:rsidR="000F4AD7" w:rsidRDefault="000F4AD7" w:rsidP="00E966FC">
      <w:pPr>
        <w:jc w:val="both"/>
        <w:rPr>
          <w:rFonts w:ascii="Arial" w:hAnsi="Arial" w:cs="Arial"/>
          <w:b/>
          <w:bCs/>
          <w:caps/>
          <w:sz w:val="22"/>
          <w:szCs w:val="22"/>
          <w:lang w:eastAsia="en-US"/>
        </w:rPr>
      </w:pPr>
      <w:r w:rsidRPr="00E966FC">
        <w:rPr>
          <w:rFonts w:ascii="Arial" w:hAnsi="Arial" w:cs="Arial"/>
          <w:b/>
          <w:bCs/>
          <w:caps/>
          <w:sz w:val="22"/>
          <w:szCs w:val="22"/>
          <w:lang w:eastAsia="en-US"/>
        </w:rPr>
        <w:lastRenderedPageBreak/>
        <w:t>Kontakt na zpracovatele RIA</w:t>
      </w:r>
    </w:p>
    <w:p w14:paraId="270AC303" w14:textId="77777777" w:rsidR="00E966FC" w:rsidRPr="00E966FC" w:rsidRDefault="00E966FC" w:rsidP="00E966FC">
      <w:pPr>
        <w:jc w:val="both"/>
        <w:rPr>
          <w:rFonts w:ascii="Arial" w:hAnsi="Arial" w:cs="Arial"/>
          <w:bCs/>
          <w:caps/>
          <w:sz w:val="22"/>
          <w:szCs w:val="22"/>
          <w:lang w:eastAsia="en-US"/>
        </w:rPr>
      </w:pPr>
    </w:p>
    <w:p w14:paraId="7BE361FF" w14:textId="77777777" w:rsidR="000F4AD7" w:rsidRPr="00E966FC" w:rsidRDefault="000F4AD7" w:rsidP="00E966FC">
      <w:pPr>
        <w:jc w:val="both"/>
        <w:rPr>
          <w:rFonts w:ascii="Arial" w:hAnsi="Arial" w:cs="Arial"/>
          <w:bCs/>
          <w:sz w:val="22"/>
          <w:szCs w:val="22"/>
          <w:lang w:eastAsia="en-US"/>
        </w:rPr>
      </w:pPr>
      <w:r w:rsidRPr="00E966FC">
        <w:rPr>
          <w:rFonts w:ascii="Arial" w:hAnsi="Arial" w:cs="Arial"/>
          <w:bCs/>
          <w:sz w:val="22"/>
          <w:szCs w:val="22"/>
          <w:lang w:eastAsia="en-US"/>
        </w:rPr>
        <w:t>Ing. Pavel Jirásek</w:t>
      </w:r>
    </w:p>
    <w:p w14:paraId="5D3369F2" w14:textId="58575993" w:rsidR="000F4AD7" w:rsidRPr="00E966FC" w:rsidRDefault="000F4AD7" w:rsidP="00E966FC">
      <w:pPr>
        <w:jc w:val="both"/>
        <w:rPr>
          <w:rFonts w:ascii="Arial" w:hAnsi="Arial" w:cs="Arial"/>
          <w:bCs/>
          <w:sz w:val="22"/>
          <w:szCs w:val="22"/>
          <w:lang w:eastAsia="en-US"/>
        </w:rPr>
      </w:pPr>
      <w:r w:rsidRPr="00E966FC">
        <w:rPr>
          <w:rFonts w:ascii="Arial" w:hAnsi="Arial" w:cs="Arial"/>
          <w:bCs/>
          <w:sz w:val="22"/>
          <w:szCs w:val="22"/>
          <w:lang w:eastAsia="en-US"/>
        </w:rPr>
        <w:t xml:space="preserve">Oddělení podpory </w:t>
      </w:r>
      <w:r w:rsidR="00723DBE" w:rsidRPr="00E966FC">
        <w:rPr>
          <w:rFonts w:ascii="Arial" w:hAnsi="Arial" w:cs="Arial"/>
          <w:bCs/>
          <w:sz w:val="22"/>
          <w:szCs w:val="22"/>
          <w:lang w:eastAsia="en-US"/>
        </w:rPr>
        <w:t>podporovaných</w:t>
      </w:r>
      <w:r w:rsidRPr="00E966FC">
        <w:rPr>
          <w:rFonts w:ascii="Arial" w:hAnsi="Arial" w:cs="Arial"/>
          <w:bCs/>
          <w:sz w:val="22"/>
          <w:szCs w:val="22"/>
          <w:lang w:eastAsia="en-US"/>
        </w:rPr>
        <w:t xml:space="preserve"> zdrojů energie</w:t>
      </w:r>
      <w:r w:rsidR="007D68CA" w:rsidRPr="00E966FC">
        <w:rPr>
          <w:rFonts w:ascii="Arial" w:hAnsi="Arial" w:cs="Arial"/>
          <w:bCs/>
          <w:sz w:val="22"/>
          <w:szCs w:val="22"/>
          <w:lang w:eastAsia="en-US"/>
        </w:rPr>
        <w:t xml:space="preserve"> a teplárenství</w:t>
      </w:r>
    </w:p>
    <w:p w14:paraId="187461ED" w14:textId="77777777" w:rsidR="000F4AD7" w:rsidRPr="00E966FC" w:rsidRDefault="000F4AD7" w:rsidP="00E966FC">
      <w:pPr>
        <w:jc w:val="both"/>
        <w:rPr>
          <w:rFonts w:ascii="Arial" w:hAnsi="Arial" w:cs="Arial"/>
          <w:bCs/>
          <w:sz w:val="22"/>
          <w:szCs w:val="22"/>
          <w:lang w:eastAsia="en-US"/>
        </w:rPr>
      </w:pPr>
      <w:r w:rsidRPr="00E966FC">
        <w:rPr>
          <w:rFonts w:ascii="Arial" w:hAnsi="Arial" w:cs="Arial"/>
          <w:bCs/>
          <w:sz w:val="22"/>
          <w:szCs w:val="22"/>
          <w:lang w:eastAsia="en-US"/>
        </w:rPr>
        <w:t>Ministerstvo průmyslu a obchodu</w:t>
      </w:r>
    </w:p>
    <w:p w14:paraId="43DD81FC" w14:textId="77777777" w:rsidR="000F4AD7" w:rsidRPr="00E966FC" w:rsidRDefault="000F4AD7" w:rsidP="00E966FC">
      <w:pPr>
        <w:jc w:val="both"/>
        <w:rPr>
          <w:rFonts w:ascii="Arial" w:hAnsi="Arial" w:cs="Arial"/>
          <w:bCs/>
          <w:sz w:val="22"/>
          <w:szCs w:val="22"/>
          <w:lang w:eastAsia="en-US"/>
        </w:rPr>
      </w:pPr>
      <w:r w:rsidRPr="00E966FC">
        <w:rPr>
          <w:rFonts w:ascii="Arial" w:hAnsi="Arial" w:cs="Arial"/>
          <w:bCs/>
          <w:sz w:val="22"/>
          <w:szCs w:val="22"/>
          <w:lang w:eastAsia="en-US"/>
        </w:rPr>
        <w:t>Na Františku 32, 110 00 Praha 1</w:t>
      </w:r>
    </w:p>
    <w:p w14:paraId="23D085ED" w14:textId="77777777" w:rsidR="000F4AD7" w:rsidRPr="00E966FC" w:rsidRDefault="000F4AD7" w:rsidP="00E966FC">
      <w:pPr>
        <w:jc w:val="both"/>
        <w:rPr>
          <w:rFonts w:ascii="Arial" w:hAnsi="Arial" w:cs="Arial"/>
          <w:bCs/>
          <w:sz w:val="22"/>
          <w:szCs w:val="22"/>
          <w:lang w:eastAsia="en-US"/>
        </w:rPr>
      </w:pPr>
      <w:r w:rsidRPr="00E966FC">
        <w:rPr>
          <w:rFonts w:ascii="Arial" w:hAnsi="Arial" w:cs="Arial"/>
          <w:bCs/>
          <w:sz w:val="22"/>
          <w:szCs w:val="22"/>
          <w:lang w:eastAsia="en-US"/>
        </w:rPr>
        <w:t>tel.: 224 852 211</w:t>
      </w:r>
    </w:p>
    <w:p w14:paraId="685E36C2" w14:textId="77CAC641" w:rsidR="000F4AD7" w:rsidRPr="00E966FC" w:rsidRDefault="000F4AD7" w:rsidP="00E966FC">
      <w:pPr>
        <w:jc w:val="both"/>
        <w:rPr>
          <w:rFonts w:ascii="Arial" w:hAnsi="Arial" w:cs="Arial"/>
          <w:bCs/>
          <w:sz w:val="22"/>
          <w:szCs w:val="22"/>
          <w:lang w:eastAsia="en-US"/>
        </w:rPr>
      </w:pPr>
      <w:r w:rsidRPr="00E966FC">
        <w:rPr>
          <w:rFonts w:ascii="Arial" w:hAnsi="Arial" w:cs="Arial"/>
          <w:bCs/>
          <w:sz w:val="22"/>
          <w:szCs w:val="22"/>
          <w:lang w:eastAsia="en-US"/>
        </w:rPr>
        <w:t xml:space="preserve">e-mail: </w:t>
      </w:r>
      <w:hyperlink r:id="rId7" w:history="1">
        <w:r w:rsidR="00E87502" w:rsidRPr="00E966FC">
          <w:rPr>
            <w:rStyle w:val="Hypertextovodkaz"/>
            <w:rFonts w:ascii="Arial" w:hAnsi="Arial" w:cs="Arial"/>
            <w:bCs/>
            <w:sz w:val="22"/>
            <w:szCs w:val="22"/>
            <w:lang w:eastAsia="en-US"/>
          </w:rPr>
          <w:t>jirasek@mpo.cz</w:t>
        </w:r>
      </w:hyperlink>
    </w:p>
    <w:p w14:paraId="3ECDEC06" w14:textId="77777777" w:rsidR="00E87502" w:rsidRPr="00E87502" w:rsidRDefault="00E87502" w:rsidP="004B239E">
      <w:pPr>
        <w:spacing w:after="120" w:line="276" w:lineRule="auto"/>
        <w:jc w:val="both"/>
        <w:rPr>
          <w:rStyle w:val="Hypertextovodkaz"/>
          <w:rFonts w:ascii="Arial" w:hAnsi="Arial" w:cs="Arial"/>
          <w:bCs/>
          <w:color w:val="auto"/>
          <w:sz w:val="22"/>
          <w:szCs w:val="22"/>
          <w:lang w:eastAsia="en-US"/>
        </w:rPr>
      </w:pPr>
    </w:p>
    <w:p w14:paraId="339AF80F" w14:textId="77777777" w:rsidR="00F87FB4" w:rsidRPr="00E87502" w:rsidRDefault="00F87FB4" w:rsidP="004B239E">
      <w:pPr>
        <w:spacing w:after="120" w:line="276" w:lineRule="auto"/>
        <w:jc w:val="both"/>
        <w:rPr>
          <w:rStyle w:val="Hypertextovodkaz"/>
          <w:rFonts w:ascii="Arial" w:hAnsi="Arial" w:cs="Arial"/>
          <w:bCs/>
          <w:color w:val="auto"/>
          <w:sz w:val="22"/>
          <w:szCs w:val="22"/>
          <w:lang w:eastAsia="en-US"/>
        </w:rPr>
      </w:pPr>
    </w:p>
    <w:p w14:paraId="305DF262" w14:textId="77777777" w:rsidR="000678FA" w:rsidRPr="00E87502" w:rsidRDefault="000678FA" w:rsidP="000678FA">
      <w:pPr>
        <w:rPr>
          <w:rFonts w:ascii="Arial" w:hAnsi="Arial" w:cs="Arial"/>
          <w:sz w:val="22"/>
          <w:szCs w:val="22"/>
        </w:rPr>
      </w:pPr>
    </w:p>
    <w:p w14:paraId="2EC4C271" w14:textId="77777777" w:rsidR="000678FA" w:rsidRPr="00E87502" w:rsidRDefault="000678FA" w:rsidP="00663834">
      <w:pPr>
        <w:pStyle w:val="Zkladntext"/>
        <w:spacing w:after="120" w:line="288" w:lineRule="auto"/>
        <w:rPr>
          <w:rFonts w:cs="Arial"/>
          <w:sz w:val="22"/>
          <w:szCs w:val="22"/>
        </w:rPr>
      </w:pPr>
    </w:p>
    <w:sectPr w:rsidR="000678FA" w:rsidRPr="00E87502" w:rsidSect="00171998">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2F12B" w14:textId="77777777" w:rsidR="00196C75" w:rsidRDefault="00196C75" w:rsidP="002D4C9F">
      <w:r>
        <w:separator/>
      </w:r>
    </w:p>
  </w:endnote>
  <w:endnote w:type="continuationSeparator" w:id="0">
    <w:p w14:paraId="77C751AF" w14:textId="77777777" w:rsidR="00196C75" w:rsidRDefault="00196C75" w:rsidP="002D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PCL6)">
    <w:charset w:val="01"/>
    <w:family w:val="roman"/>
    <w:pitch w:val="variable"/>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Droid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83C81" w14:textId="77777777" w:rsidR="003100E0" w:rsidRPr="009C326F" w:rsidRDefault="003100E0" w:rsidP="009C326F">
    <w:pPr>
      <w:tabs>
        <w:tab w:val="center" w:pos="4550"/>
        <w:tab w:val="left" w:pos="5818"/>
      </w:tabs>
      <w:ind w:right="260"/>
      <w:jc w:val="center"/>
      <w:rPr>
        <w:rFonts w:ascii="Arial" w:hAnsi="Arial" w:cs="Arial"/>
        <w:sz w:val="22"/>
        <w:szCs w:val="22"/>
      </w:rPr>
    </w:pPr>
    <w:r w:rsidRPr="009C326F">
      <w:rPr>
        <w:rFonts w:ascii="Arial" w:hAnsi="Arial" w:cs="Arial"/>
        <w:sz w:val="22"/>
        <w:szCs w:val="22"/>
      </w:rPr>
      <w:fldChar w:fldCharType="begin"/>
    </w:r>
    <w:r w:rsidRPr="009C326F">
      <w:rPr>
        <w:rFonts w:ascii="Arial" w:hAnsi="Arial" w:cs="Arial"/>
        <w:sz w:val="22"/>
        <w:szCs w:val="22"/>
      </w:rPr>
      <w:instrText>PAGE   \* MERGEFORMAT</w:instrText>
    </w:r>
    <w:r w:rsidRPr="009C326F">
      <w:rPr>
        <w:rFonts w:ascii="Arial" w:hAnsi="Arial" w:cs="Arial"/>
        <w:sz w:val="22"/>
        <w:szCs w:val="22"/>
      </w:rPr>
      <w:fldChar w:fldCharType="separate"/>
    </w:r>
    <w:r w:rsidR="00537A83">
      <w:rPr>
        <w:rFonts w:ascii="Arial" w:hAnsi="Arial" w:cs="Arial"/>
        <w:noProof/>
        <w:sz w:val="22"/>
        <w:szCs w:val="22"/>
      </w:rPr>
      <w:t>1</w:t>
    </w:r>
    <w:r w:rsidRPr="009C326F">
      <w:rPr>
        <w:rFonts w:ascii="Arial" w:hAnsi="Arial" w:cs="Arial"/>
        <w:sz w:val="22"/>
        <w:szCs w:val="22"/>
      </w:rPr>
      <w:fldChar w:fldCharType="end"/>
    </w:r>
    <w:r w:rsidRPr="009C326F">
      <w:rPr>
        <w:rFonts w:ascii="Arial" w:hAnsi="Arial" w:cs="Arial"/>
        <w:sz w:val="22"/>
        <w:szCs w:val="22"/>
      </w:rPr>
      <w:t xml:space="preserve"> | </w:t>
    </w:r>
    <w:r w:rsidRPr="009C326F">
      <w:rPr>
        <w:rFonts w:ascii="Arial" w:hAnsi="Arial" w:cs="Arial"/>
        <w:sz w:val="22"/>
        <w:szCs w:val="22"/>
      </w:rPr>
      <w:fldChar w:fldCharType="begin"/>
    </w:r>
    <w:r w:rsidRPr="009C326F">
      <w:rPr>
        <w:rFonts w:ascii="Arial" w:hAnsi="Arial" w:cs="Arial"/>
        <w:sz w:val="22"/>
        <w:szCs w:val="22"/>
      </w:rPr>
      <w:instrText>NUMPAGES  \* Arabic  \* MERGEFORMAT</w:instrText>
    </w:r>
    <w:r w:rsidRPr="009C326F">
      <w:rPr>
        <w:rFonts w:ascii="Arial" w:hAnsi="Arial" w:cs="Arial"/>
        <w:sz w:val="22"/>
        <w:szCs w:val="22"/>
      </w:rPr>
      <w:fldChar w:fldCharType="separate"/>
    </w:r>
    <w:r w:rsidR="00537A83">
      <w:rPr>
        <w:rFonts w:ascii="Arial" w:hAnsi="Arial" w:cs="Arial"/>
        <w:noProof/>
        <w:sz w:val="22"/>
        <w:szCs w:val="22"/>
      </w:rPr>
      <w:t>6</w:t>
    </w:r>
    <w:r w:rsidRPr="009C326F">
      <w:rPr>
        <w:rFonts w:ascii="Arial" w:hAnsi="Arial" w:cs="Arial"/>
        <w:sz w:val="22"/>
        <w:szCs w:val="22"/>
      </w:rPr>
      <w:fldChar w:fldCharType="end"/>
    </w:r>
  </w:p>
  <w:p w14:paraId="6375EA11" w14:textId="77777777" w:rsidR="003100E0" w:rsidRPr="002D4C9F" w:rsidRDefault="003100E0">
    <w:pPr>
      <w:pStyle w:val="Zpat"/>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77AD4" w14:textId="77777777" w:rsidR="00196C75" w:rsidRDefault="00196C75" w:rsidP="002D4C9F">
      <w:r>
        <w:separator/>
      </w:r>
    </w:p>
  </w:footnote>
  <w:footnote w:type="continuationSeparator" w:id="0">
    <w:p w14:paraId="6B698A94" w14:textId="77777777" w:rsidR="00196C75" w:rsidRDefault="00196C75" w:rsidP="002D4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6B9B"/>
    <w:multiLevelType w:val="hybridMultilevel"/>
    <w:tmpl w:val="DA9AD648"/>
    <w:lvl w:ilvl="0" w:tplc="04050017">
      <w:start w:val="1"/>
      <w:numFmt w:val="lowerLetter"/>
      <w:lvlText w:val="%1)"/>
      <w:lvlJc w:val="left"/>
      <w:pPr>
        <w:ind w:left="360" w:hanging="360"/>
      </w:p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3730FF8"/>
    <w:multiLevelType w:val="hybridMultilevel"/>
    <w:tmpl w:val="9FD0823A"/>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5844516"/>
    <w:multiLevelType w:val="hybridMultilevel"/>
    <w:tmpl w:val="AB0C65C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D035F"/>
    <w:multiLevelType w:val="multilevel"/>
    <w:tmpl w:val="27485E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12A3A3B"/>
    <w:multiLevelType w:val="multilevel"/>
    <w:tmpl w:val="6456A6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B53D9"/>
    <w:multiLevelType w:val="hybridMultilevel"/>
    <w:tmpl w:val="5680C86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D948F8"/>
    <w:multiLevelType w:val="hybridMultilevel"/>
    <w:tmpl w:val="5010D8BA"/>
    <w:lvl w:ilvl="0" w:tplc="DFF684A6">
      <w:numFmt w:val="bullet"/>
      <w:lvlText w:val="-"/>
      <w:lvlJc w:val="left"/>
      <w:pPr>
        <w:ind w:left="720" w:hanging="360"/>
      </w:pPr>
      <w:rPr>
        <w:rFonts w:ascii="Arial" w:eastAsia="Times New Roman" w:hAnsi="Arial" w:cs="Arial"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2F306A"/>
    <w:multiLevelType w:val="hybridMultilevel"/>
    <w:tmpl w:val="AE381378"/>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163768E6"/>
    <w:multiLevelType w:val="hybridMultilevel"/>
    <w:tmpl w:val="F4D07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CC3324"/>
    <w:multiLevelType w:val="multilevel"/>
    <w:tmpl w:val="5E58E91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F43722E"/>
    <w:multiLevelType w:val="hybridMultilevel"/>
    <w:tmpl w:val="3CB67A4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F606283"/>
    <w:multiLevelType w:val="hybridMultilevel"/>
    <w:tmpl w:val="22FED8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495462"/>
    <w:multiLevelType w:val="hybridMultilevel"/>
    <w:tmpl w:val="C86EC6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ED017C"/>
    <w:multiLevelType w:val="hybridMultilevel"/>
    <w:tmpl w:val="9A9CBF78"/>
    <w:lvl w:ilvl="0" w:tplc="E3A6D81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4B56D8"/>
    <w:multiLevelType w:val="hybridMultilevel"/>
    <w:tmpl w:val="4CD29B72"/>
    <w:lvl w:ilvl="0" w:tplc="086C6A7A">
      <w:start w:val="1"/>
      <w:numFmt w:val="upperRoman"/>
      <w:lvlText w:val="%1)"/>
      <w:lvlJc w:val="left"/>
      <w:pPr>
        <w:ind w:left="143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1C2847"/>
    <w:multiLevelType w:val="hybridMultilevel"/>
    <w:tmpl w:val="1EB4226E"/>
    <w:lvl w:ilvl="0" w:tplc="6AD60960">
      <w:start w:val="1"/>
      <w:numFmt w:val="lowerLetter"/>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F246F0"/>
    <w:multiLevelType w:val="hybridMultilevel"/>
    <w:tmpl w:val="992CAF90"/>
    <w:lvl w:ilvl="0" w:tplc="0405000F">
      <w:start w:val="1"/>
      <w:numFmt w:val="decimal"/>
      <w:lvlText w:val="%1."/>
      <w:lvlJc w:val="left"/>
      <w:pPr>
        <w:tabs>
          <w:tab w:val="num" w:pos="720"/>
        </w:tabs>
        <w:ind w:left="720" w:hanging="360"/>
      </w:pPr>
      <w:rPr>
        <w:rFonts w:hint="default"/>
      </w:rPr>
    </w:lvl>
    <w:lvl w:ilvl="1" w:tplc="94B2D850">
      <w:start w:val="1"/>
      <w:numFmt w:val="bullet"/>
      <w:lvlText w:val=""/>
      <w:lvlJc w:val="left"/>
      <w:pPr>
        <w:tabs>
          <w:tab w:val="num" w:pos="1440"/>
        </w:tabs>
        <w:ind w:left="1440" w:hanging="360"/>
      </w:pPr>
      <w:rPr>
        <w:rFonts w:ascii="Symbol" w:hAnsi="Symbol"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BC311FD"/>
    <w:multiLevelType w:val="hybridMultilevel"/>
    <w:tmpl w:val="F23227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B442D3"/>
    <w:multiLevelType w:val="hybridMultilevel"/>
    <w:tmpl w:val="E4F4FEC2"/>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2DD46383"/>
    <w:multiLevelType w:val="multilevel"/>
    <w:tmpl w:val="B8647D5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E506D5C"/>
    <w:multiLevelType w:val="hybridMultilevel"/>
    <w:tmpl w:val="44840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1D50785"/>
    <w:multiLevelType w:val="hybridMultilevel"/>
    <w:tmpl w:val="39DE49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8F13947"/>
    <w:multiLevelType w:val="multilevel"/>
    <w:tmpl w:val="3C8E697C"/>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23" w15:restartNumberingAfterBreak="0">
    <w:nsid w:val="41D96705"/>
    <w:multiLevelType w:val="hybridMultilevel"/>
    <w:tmpl w:val="F0080F8A"/>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428A7968"/>
    <w:multiLevelType w:val="hybridMultilevel"/>
    <w:tmpl w:val="AF70E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A902B37"/>
    <w:multiLevelType w:val="hybridMultilevel"/>
    <w:tmpl w:val="4848578A"/>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6" w15:restartNumberingAfterBreak="0">
    <w:nsid w:val="4DE04478"/>
    <w:multiLevelType w:val="hybridMultilevel"/>
    <w:tmpl w:val="3A7E531C"/>
    <w:lvl w:ilvl="0" w:tplc="C0784462">
      <w:start w:val="1"/>
      <w:numFmt w:val="upp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CE7894"/>
    <w:multiLevelType w:val="hybridMultilevel"/>
    <w:tmpl w:val="B978AED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F537449"/>
    <w:multiLevelType w:val="hybridMultilevel"/>
    <w:tmpl w:val="54F492D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50A04D0D"/>
    <w:multiLevelType w:val="multilevel"/>
    <w:tmpl w:val="6640342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D0311A8"/>
    <w:multiLevelType w:val="hybridMultilevel"/>
    <w:tmpl w:val="1E9C952A"/>
    <w:lvl w:ilvl="0" w:tplc="0A2EF9E4">
      <w:start w:val="1"/>
      <w:numFmt w:val="bullet"/>
      <w:lvlText w:val=""/>
      <w:lvlJc w:val="left"/>
      <w:pPr>
        <w:ind w:left="720" w:hanging="360"/>
      </w:pPr>
      <w:rPr>
        <w:rFonts w:ascii="Symbol" w:hAnsi="Symbol" w:hint="default"/>
      </w:rPr>
    </w:lvl>
    <w:lvl w:ilvl="1" w:tplc="600ABFE4">
      <w:start w:val="1"/>
      <w:numFmt w:val="bullet"/>
      <w:lvlText w:val="o"/>
      <w:lvlJc w:val="left"/>
      <w:pPr>
        <w:ind w:left="1440" w:hanging="360"/>
      </w:pPr>
      <w:rPr>
        <w:rFonts w:ascii="Courier New" w:hAnsi="Courier New" w:cs="Courier New" w:hint="default"/>
      </w:rPr>
    </w:lvl>
    <w:lvl w:ilvl="2" w:tplc="38800AD6">
      <w:start w:val="1"/>
      <w:numFmt w:val="bullet"/>
      <w:lvlText w:val=""/>
      <w:lvlJc w:val="left"/>
      <w:pPr>
        <w:ind w:left="2160" w:hanging="360"/>
      </w:pPr>
      <w:rPr>
        <w:rFonts w:ascii="Wingdings" w:hAnsi="Wingdings" w:hint="default"/>
      </w:rPr>
    </w:lvl>
    <w:lvl w:ilvl="3" w:tplc="08ACE896">
      <w:start w:val="1"/>
      <w:numFmt w:val="bullet"/>
      <w:lvlText w:val=""/>
      <w:lvlJc w:val="left"/>
      <w:pPr>
        <w:ind w:left="2880" w:hanging="360"/>
      </w:pPr>
      <w:rPr>
        <w:rFonts w:ascii="Symbol" w:hAnsi="Symbol" w:hint="default"/>
      </w:rPr>
    </w:lvl>
    <w:lvl w:ilvl="4" w:tplc="74E4D9DA">
      <w:start w:val="1"/>
      <w:numFmt w:val="bullet"/>
      <w:lvlText w:val="o"/>
      <w:lvlJc w:val="left"/>
      <w:pPr>
        <w:ind w:left="3600" w:hanging="360"/>
      </w:pPr>
      <w:rPr>
        <w:rFonts w:ascii="Courier New" w:hAnsi="Courier New" w:cs="Courier New" w:hint="default"/>
      </w:rPr>
    </w:lvl>
    <w:lvl w:ilvl="5" w:tplc="3BFA4516">
      <w:start w:val="1"/>
      <w:numFmt w:val="bullet"/>
      <w:lvlText w:val=""/>
      <w:lvlJc w:val="left"/>
      <w:pPr>
        <w:ind w:left="4320" w:hanging="360"/>
      </w:pPr>
      <w:rPr>
        <w:rFonts w:ascii="Wingdings" w:hAnsi="Wingdings" w:hint="default"/>
      </w:rPr>
    </w:lvl>
    <w:lvl w:ilvl="6" w:tplc="AA9C9740">
      <w:start w:val="1"/>
      <w:numFmt w:val="bullet"/>
      <w:lvlText w:val=""/>
      <w:lvlJc w:val="left"/>
      <w:pPr>
        <w:ind w:left="5040" w:hanging="360"/>
      </w:pPr>
      <w:rPr>
        <w:rFonts w:ascii="Symbol" w:hAnsi="Symbol" w:hint="default"/>
      </w:rPr>
    </w:lvl>
    <w:lvl w:ilvl="7" w:tplc="220EE9AA">
      <w:start w:val="1"/>
      <w:numFmt w:val="bullet"/>
      <w:lvlText w:val="o"/>
      <w:lvlJc w:val="left"/>
      <w:pPr>
        <w:ind w:left="5760" w:hanging="360"/>
      </w:pPr>
      <w:rPr>
        <w:rFonts w:ascii="Courier New" w:hAnsi="Courier New" w:cs="Courier New" w:hint="default"/>
      </w:rPr>
    </w:lvl>
    <w:lvl w:ilvl="8" w:tplc="A038F624">
      <w:start w:val="1"/>
      <w:numFmt w:val="bullet"/>
      <w:lvlText w:val=""/>
      <w:lvlJc w:val="left"/>
      <w:pPr>
        <w:ind w:left="6480" w:hanging="360"/>
      </w:pPr>
      <w:rPr>
        <w:rFonts w:ascii="Wingdings" w:hAnsi="Wingdings" w:hint="default"/>
      </w:rPr>
    </w:lvl>
  </w:abstractNum>
  <w:abstractNum w:abstractNumId="31" w15:restartNumberingAfterBreak="0">
    <w:nsid w:val="63D24871"/>
    <w:multiLevelType w:val="hybridMultilevel"/>
    <w:tmpl w:val="47E0F3CA"/>
    <w:lvl w:ilvl="0" w:tplc="BE682A2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A2E4505"/>
    <w:multiLevelType w:val="hybridMultilevel"/>
    <w:tmpl w:val="49E64EDA"/>
    <w:lvl w:ilvl="0" w:tplc="9DB4841A">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3" w15:restartNumberingAfterBreak="0">
    <w:nsid w:val="6B137E44"/>
    <w:multiLevelType w:val="hybridMultilevel"/>
    <w:tmpl w:val="F446A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E27BB3"/>
    <w:multiLevelType w:val="hybridMultilevel"/>
    <w:tmpl w:val="1474EAEE"/>
    <w:lvl w:ilvl="0" w:tplc="6A7EFAB8">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6E201A90"/>
    <w:multiLevelType w:val="hybridMultilevel"/>
    <w:tmpl w:val="2AB6ED76"/>
    <w:lvl w:ilvl="0" w:tplc="D3A8566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A57D57"/>
    <w:multiLevelType w:val="hybridMultilevel"/>
    <w:tmpl w:val="5DC8409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1C6FC8"/>
    <w:multiLevelType w:val="hybridMultilevel"/>
    <w:tmpl w:val="24B8029E"/>
    <w:lvl w:ilvl="0" w:tplc="B51A2C54">
      <w:start w:val="3"/>
      <w:numFmt w:val="upperLetter"/>
      <w:pStyle w:val="Seznamsodrkami"/>
      <w:lvlText w:val="%1."/>
      <w:lvlJc w:val="left"/>
      <w:pPr>
        <w:ind w:left="360" w:hanging="360"/>
      </w:pPr>
      <w:rPr>
        <w:rFonts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37"/>
  </w:num>
  <w:num w:numId="3">
    <w:abstractNumId w:val="14"/>
  </w:num>
  <w:num w:numId="4">
    <w:abstractNumId w:val="35"/>
  </w:num>
  <w:num w:numId="5">
    <w:abstractNumId w:val="17"/>
  </w:num>
  <w:num w:numId="6">
    <w:abstractNumId w:val="18"/>
  </w:num>
  <w:num w:numId="7">
    <w:abstractNumId w:val="16"/>
  </w:num>
  <w:num w:numId="8">
    <w:abstractNumId w:val="28"/>
  </w:num>
  <w:num w:numId="9">
    <w:abstractNumId w:val="1"/>
  </w:num>
  <w:num w:numId="10">
    <w:abstractNumId w:val="11"/>
  </w:num>
  <w:num w:numId="11">
    <w:abstractNumId w:val="25"/>
  </w:num>
  <w:num w:numId="12">
    <w:abstractNumId w:val="21"/>
  </w:num>
  <w:num w:numId="13">
    <w:abstractNumId w:val="33"/>
  </w:num>
  <w:num w:numId="14">
    <w:abstractNumId w:val="24"/>
  </w:num>
  <w:num w:numId="15">
    <w:abstractNumId w:val="26"/>
  </w:num>
  <w:num w:numId="16">
    <w:abstractNumId w:val="15"/>
  </w:num>
  <w:num w:numId="17">
    <w:abstractNumId w:val="8"/>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9"/>
  </w:num>
  <w:num w:numId="23">
    <w:abstractNumId w:val="29"/>
  </w:num>
  <w:num w:numId="24">
    <w:abstractNumId w:val="4"/>
  </w:num>
  <w:num w:numId="25">
    <w:abstractNumId w:val="22"/>
  </w:num>
  <w:num w:numId="26">
    <w:abstractNumId w:val="3"/>
  </w:num>
  <w:num w:numId="27">
    <w:abstractNumId w:val="20"/>
  </w:num>
  <w:num w:numId="28">
    <w:abstractNumId w:val="27"/>
  </w:num>
  <w:num w:numId="29">
    <w:abstractNumId w:val="12"/>
  </w:num>
  <w:num w:numId="30">
    <w:abstractNumId w:val="2"/>
  </w:num>
  <w:num w:numId="31">
    <w:abstractNumId w:val="36"/>
  </w:num>
  <w:num w:numId="32">
    <w:abstractNumId w:val="5"/>
  </w:num>
  <w:num w:numId="33">
    <w:abstractNumId w:val="31"/>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34"/>
  </w:num>
  <w:num w:numId="40">
    <w:abstractNumId w:val="6"/>
  </w:num>
  <w:num w:numId="41">
    <w:abstractNumId w:val="3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541"/>
    <w:rsid w:val="0001138C"/>
    <w:rsid w:val="00015CD2"/>
    <w:rsid w:val="00023768"/>
    <w:rsid w:val="000259E3"/>
    <w:rsid w:val="0002703B"/>
    <w:rsid w:val="00040F7A"/>
    <w:rsid w:val="00063051"/>
    <w:rsid w:val="00064F74"/>
    <w:rsid w:val="00066DE7"/>
    <w:rsid w:val="000678FA"/>
    <w:rsid w:val="00067E81"/>
    <w:rsid w:val="00080B78"/>
    <w:rsid w:val="0008372B"/>
    <w:rsid w:val="00086D79"/>
    <w:rsid w:val="000B58D0"/>
    <w:rsid w:val="000B62AF"/>
    <w:rsid w:val="000C0495"/>
    <w:rsid w:val="000C0AAD"/>
    <w:rsid w:val="000C2CA3"/>
    <w:rsid w:val="000F0A78"/>
    <w:rsid w:val="000F4AD7"/>
    <w:rsid w:val="000F52D4"/>
    <w:rsid w:val="000F61C1"/>
    <w:rsid w:val="00102DC5"/>
    <w:rsid w:val="00114354"/>
    <w:rsid w:val="00114F9A"/>
    <w:rsid w:val="00116BF1"/>
    <w:rsid w:val="00117A9A"/>
    <w:rsid w:val="00122525"/>
    <w:rsid w:val="0012401D"/>
    <w:rsid w:val="001260EE"/>
    <w:rsid w:val="00133B83"/>
    <w:rsid w:val="0014103E"/>
    <w:rsid w:val="00151C60"/>
    <w:rsid w:val="00154CC7"/>
    <w:rsid w:val="00171998"/>
    <w:rsid w:val="00176628"/>
    <w:rsid w:val="0018518F"/>
    <w:rsid w:val="00196C75"/>
    <w:rsid w:val="001A64C6"/>
    <w:rsid w:val="001A6837"/>
    <w:rsid w:val="001B6820"/>
    <w:rsid w:val="001D01DC"/>
    <w:rsid w:val="001D3C19"/>
    <w:rsid w:val="001D5514"/>
    <w:rsid w:val="001D791A"/>
    <w:rsid w:val="001F043F"/>
    <w:rsid w:val="001F21B8"/>
    <w:rsid w:val="002128DF"/>
    <w:rsid w:val="00213D62"/>
    <w:rsid w:val="00224027"/>
    <w:rsid w:val="00236725"/>
    <w:rsid w:val="002507AF"/>
    <w:rsid w:val="00266D92"/>
    <w:rsid w:val="002732AF"/>
    <w:rsid w:val="00273523"/>
    <w:rsid w:val="002765BA"/>
    <w:rsid w:val="0028009C"/>
    <w:rsid w:val="00282DA3"/>
    <w:rsid w:val="002A1636"/>
    <w:rsid w:val="002A2413"/>
    <w:rsid w:val="002D39A0"/>
    <w:rsid w:val="002D48FB"/>
    <w:rsid w:val="002D4C9F"/>
    <w:rsid w:val="002D70C1"/>
    <w:rsid w:val="002E0640"/>
    <w:rsid w:val="002E1354"/>
    <w:rsid w:val="00306C76"/>
    <w:rsid w:val="003100E0"/>
    <w:rsid w:val="003137A3"/>
    <w:rsid w:val="00323A1E"/>
    <w:rsid w:val="003528D2"/>
    <w:rsid w:val="0035730D"/>
    <w:rsid w:val="003605BD"/>
    <w:rsid w:val="00365C56"/>
    <w:rsid w:val="003670AC"/>
    <w:rsid w:val="00373789"/>
    <w:rsid w:val="00384E41"/>
    <w:rsid w:val="003930FE"/>
    <w:rsid w:val="003A219F"/>
    <w:rsid w:val="003A65D8"/>
    <w:rsid w:val="003C08AC"/>
    <w:rsid w:val="003C391C"/>
    <w:rsid w:val="003D211C"/>
    <w:rsid w:val="003D4807"/>
    <w:rsid w:val="003E26D0"/>
    <w:rsid w:val="004073CF"/>
    <w:rsid w:val="00427A8B"/>
    <w:rsid w:val="00427ED1"/>
    <w:rsid w:val="00432EC1"/>
    <w:rsid w:val="00435758"/>
    <w:rsid w:val="00436E46"/>
    <w:rsid w:val="00440C88"/>
    <w:rsid w:val="00442C5F"/>
    <w:rsid w:val="00444E3B"/>
    <w:rsid w:val="00460B5C"/>
    <w:rsid w:val="004730F0"/>
    <w:rsid w:val="004750C4"/>
    <w:rsid w:val="0048234E"/>
    <w:rsid w:val="004847CF"/>
    <w:rsid w:val="0049537F"/>
    <w:rsid w:val="0049552B"/>
    <w:rsid w:val="004A11F5"/>
    <w:rsid w:val="004A5133"/>
    <w:rsid w:val="004B239E"/>
    <w:rsid w:val="004B642D"/>
    <w:rsid w:val="004C0574"/>
    <w:rsid w:val="004E1F00"/>
    <w:rsid w:val="004F5093"/>
    <w:rsid w:val="005303F2"/>
    <w:rsid w:val="0053332D"/>
    <w:rsid w:val="00537A83"/>
    <w:rsid w:val="005422E5"/>
    <w:rsid w:val="00555642"/>
    <w:rsid w:val="005713FE"/>
    <w:rsid w:val="005717D3"/>
    <w:rsid w:val="00580D09"/>
    <w:rsid w:val="00585927"/>
    <w:rsid w:val="005A368E"/>
    <w:rsid w:val="005B5AFD"/>
    <w:rsid w:val="005B7BB6"/>
    <w:rsid w:val="005D00C4"/>
    <w:rsid w:val="005E1737"/>
    <w:rsid w:val="005E2D2A"/>
    <w:rsid w:val="005E49F7"/>
    <w:rsid w:val="005F6A02"/>
    <w:rsid w:val="00600067"/>
    <w:rsid w:val="00602A8C"/>
    <w:rsid w:val="0060715D"/>
    <w:rsid w:val="00613606"/>
    <w:rsid w:val="00614E63"/>
    <w:rsid w:val="006158DC"/>
    <w:rsid w:val="00621C64"/>
    <w:rsid w:val="00627A88"/>
    <w:rsid w:val="006316B1"/>
    <w:rsid w:val="006405F7"/>
    <w:rsid w:val="00641478"/>
    <w:rsid w:val="00654ADB"/>
    <w:rsid w:val="00663834"/>
    <w:rsid w:val="00667339"/>
    <w:rsid w:val="00683BBF"/>
    <w:rsid w:val="006A2666"/>
    <w:rsid w:val="006A514C"/>
    <w:rsid w:val="006C30BC"/>
    <w:rsid w:val="006C476B"/>
    <w:rsid w:val="006F30EF"/>
    <w:rsid w:val="0071068C"/>
    <w:rsid w:val="00714F61"/>
    <w:rsid w:val="007210FF"/>
    <w:rsid w:val="00723DBE"/>
    <w:rsid w:val="00734C59"/>
    <w:rsid w:val="00747C06"/>
    <w:rsid w:val="00752B40"/>
    <w:rsid w:val="00756560"/>
    <w:rsid w:val="00766AA4"/>
    <w:rsid w:val="007700CF"/>
    <w:rsid w:val="00770EDC"/>
    <w:rsid w:val="00776CF6"/>
    <w:rsid w:val="00791E70"/>
    <w:rsid w:val="007A1D1F"/>
    <w:rsid w:val="007B1072"/>
    <w:rsid w:val="007B3E51"/>
    <w:rsid w:val="007D68CA"/>
    <w:rsid w:val="0080115A"/>
    <w:rsid w:val="00802665"/>
    <w:rsid w:val="00813087"/>
    <w:rsid w:val="008134F2"/>
    <w:rsid w:val="0083133C"/>
    <w:rsid w:val="00845436"/>
    <w:rsid w:val="00845942"/>
    <w:rsid w:val="0085293C"/>
    <w:rsid w:val="00864DC2"/>
    <w:rsid w:val="008919FB"/>
    <w:rsid w:val="008A0A8A"/>
    <w:rsid w:val="008A6BB5"/>
    <w:rsid w:val="008B3FA2"/>
    <w:rsid w:val="008B742C"/>
    <w:rsid w:val="008C1B82"/>
    <w:rsid w:val="008C4785"/>
    <w:rsid w:val="008D19F1"/>
    <w:rsid w:val="008D2F41"/>
    <w:rsid w:val="009103D2"/>
    <w:rsid w:val="00912708"/>
    <w:rsid w:val="00917B11"/>
    <w:rsid w:val="00923836"/>
    <w:rsid w:val="00931A23"/>
    <w:rsid w:val="009400F2"/>
    <w:rsid w:val="00946D1F"/>
    <w:rsid w:val="009642A4"/>
    <w:rsid w:val="0097646D"/>
    <w:rsid w:val="00980244"/>
    <w:rsid w:val="009832B8"/>
    <w:rsid w:val="009A150B"/>
    <w:rsid w:val="009C2BA8"/>
    <w:rsid w:val="009C326F"/>
    <w:rsid w:val="009C441E"/>
    <w:rsid w:val="009C79CF"/>
    <w:rsid w:val="009D5EFC"/>
    <w:rsid w:val="009E3E45"/>
    <w:rsid w:val="009F5A57"/>
    <w:rsid w:val="00A247A4"/>
    <w:rsid w:val="00A250B0"/>
    <w:rsid w:val="00A26BC4"/>
    <w:rsid w:val="00A36495"/>
    <w:rsid w:val="00A50AE6"/>
    <w:rsid w:val="00A57301"/>
    <w:rsid w:val="00A60491"/>
    <w:rsid w:val="00A6146A"/>
    <w:rsid w:val="00A67527"/>
    <w:rsid w:val="00A7032A"/>
    <w:rsid w:val="00A7220C"/>
    <w:rsid w:val="00A82383"/>
    <w:rsid w:val="00A94054"/>
    <w:rsid w:val="00A9540E"/>
    <w:rsid w:val="00AC7BA0"/>
    <w:rsid w:val="00AD3043"/>
    <w:rsid w:val="00AF795E"/>
    <w:rsid w:val="00B00972"/>
    <w:rsid w:val="00B01818"/>
    <w:rsid w:val="00B01CF0"/>
    <w:rsid w:val="00B058F6"/>
    <w:rsid w:val="00B10651"/>
    <w:rsid w:val="00B703AF"/>
    <w:rsid w:val="00B84714"/>
    <w:rsid w:val="00B86B08"/>
    <w:rsid w:val="00B87D20"/>
    <w:rsid w:val="00B91217"/>
    <w:rsid w:val="00B915B8"/>
    <w:rsid w:val="00B9359B"/>
    <w:rsid w:val="00B93A40"/>
    <w:rsid w:val="00B9491E"/>
    <w:rsid w:val="00BA2473"/>
    <w:rsid w:val="00BA45D0"/>
    <w:rsid w:val="00BA624D"/>
    <w:rsid w:val="00BA67AB"/>
    <w:rsid w:val="00BA7930"/>
    <w:rsid w:val="00BA7C98"/>
    <w:rsid w:val="00BB0A84"/>
    <w:rsid w:val="00BC0528"/>
    <w:rsid w:val="00BC13C9"/>
    <w:rsid w:val="00BD78AA"/>
    <w:rsid w:val="00BF1560"/>
    <w:rsid w:val="00C17109"/>
    <w:rsid w:val="00C260FC"/>
    <w:rsid w:val="00C34C68"/>
    <w:rsid w:val="00C43481"/>
    <w:rsid w:val="00C77E88"/>
    <w:rsid w:val="00C931CC"/>
    <w:rsid w:val="00C97E81"/>
    <w:rsid w:val="00CA0087"/>
    <w:rsid w:val="00CA0A9D"/>
    <w:rsid w:val="00CA1555"/>
    <w:rsid w:val="00CA719B"/>
    <w:rsid w:val="00CB1B6D"/>
    <w:rsid w:val="00CB3DEA"/>
    <w:rsid w:val="00CC3153"/>
    <w:rsid w:val="00CE19B6"/>
    <w:rsid w:val="00CE31E8"/>
    <w:rsid w:val="00CF0A04"/>
    <w:rsid w:val="00CF5385"/>
    <w:rsid w:val="00D02330"/>
    <w:rsid w:val="00D071F5"/>
    <w:rsid w:val="00D3112C"/>
    <w:rsid w:val="00D3141E"/>
    <w:rsid w:val="00D33541"/>
    <w:rsid w:val="00D365FE"/>
    <w:rsid w:val="00D40646"/>
    <w:rsid w:val="00D41F6B"/>
    <w:rsid w:val="00D47565"/>
    <w:rsid w:val="00D62063"/>
    <w:rsid w:val="00DB1251"/>
    <w:rsid w:val="00DB3362"/>
    <w:rsid w:val="00DB33C1"/>
    <w:rsid w:val="00DB44D4"/>
    <w:rsid w:val="00DB7CE5"/>
    <w:rsid w:val="00DC125D"/>
    <w:rsid w:val="00DC2C5F"/>
    <w:rsid w:val="00DF0045"/>
    <w:rsid w:val="00DF6F75"/>
    <w:rsid w:val="00E0184A"/>
    <w:rsid w:val="00E05B50"/>
    <w:rsid w:val="00E0754E"/>
    <w:rsid w:val="00E10690"/>
    <w:rsid w:val="00E1116C"/>
    <w:rsid w:val="00E13C37"/>
    <w:rsid w:val="00E13EEC"/>
    <w:rsid w:val="00E13F61"/>
    <w:rsid w:val="00E3060C"/>
    <w:rsid w:val="00E358AB"/>
    <w:rsid w:val="00E438A1"/>
    <w:rsid w:val="00E46A40"/>
    <w:rsid w:val="00E51FA7"/>
    <w:rsid w:val="00E55F0C"/>
    <w:rsid w:val="00E63298"/>
    <w:rsid w:val="00E6533B"/>
    <w:rsid w:val="00E67E17"/>
    <w:rsid w:val="00E87502"/>
    <w:rsid w:val="00E966FC"/>
    <w:rsid w:val="00EA3CEC"/>
    <w:rsid w:val="00EA533A"/>
    <w:rsid w:val="00EA67AB"/>
    <w:rsid w:val="00EA71B2"/>
    <w:rsid w:val="00ED0EB7"/>
    <w:rsid w:val="00F058C4"/>
    <w:rsid w:val="00F23A55"/>
    <w:rsid w:val="00F23F85"/>
    <w:rsid w:val="00F240B6"/>
    <w:rsid w:val="00F36C57"/>
    <w:rsid w:val="00F47715"/>
    <w:rsid w:val="00F547AD"/>
    <w:rsid w:val="00F54B52"/>
    <w:rsid w:val="00F57F29"/>
    <w:rsid w:val="00F66259"/>
    <w:rsid w:val="00F670D5"/>
    <w:rsid w:val="00F70CED"/>
    <w:rsid w:val="00F72B3A"/>
    <w:rsid w:val="00F73D86"/>
    <w:rsid w:val="00F8298B"/>
    <w:rsid w:val="00F87D47"/>
    <w:rsid w:val="00F87FB4"/>
    <w:rsid w:val="00F935CD"/>
    <w:rsid w:val="00F93E57"/>
    <w:rsid w:val="00FA1746"/>
    <w:rsid w:val="00FA4F9B"/>
    <w:rsid w:val="00FA799D"/>
    <w:rsid w:val="00FB0494"/>
    <w:rsid w:val="00FB3B08"/>
    <w:rsid w:val="00FB3BAE"/>
    <w:rsid w:val="00FC09AD"/>
    <w:rsid w:val="00FE6BF8"/>
    <w:rsid w:val="00FF46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9A3E3"/>
  <w15:docId w15:val="{5BE62436-8C06-4BD6-A5AB-195D29A3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3354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Normal,Normální1"/>
    <w:uiPriority w:val="1"/>
    <w:qFormat/>
    <w:rsid w:val="00D33541"/>
    <w:rPr>
      <w:rFonts w:ascii="Calibri" w:eastAsia="Calibri" w:hAnsi="Calibri"/>
      <w:sz w:val="22"/>
      <w:szCs w:val="22"/>
      <w:lang w:eastAsia="en-US"/>
    </w:rPr>
  </w:style>
  <w:style w:type="paragraph" w:styleId="Odstavecseseznamem">
    <w:name w:val="List Paragraph"/>
    <w:aliases w:val="Conclusion de partie,Odstavec se seznamem2,Fiche List Paragraph,Odstavec1,Dot pt,List Paragraph Char Char Char,Indicator Text,Numbered Para 1,List Paragraph à moi,Odsek zoznamu4,LISTA,Listaszerű bekezdés2,3,Nad"/>
    <w:basedOn w:val="Normln"/>
    <w:link w:val="OdstavecseseznamemChar"/>
    <w:uiPriority w:val="34"/>
    <w:qFormat/>
    <w:rsid w:val="00D33541"/>
    <w:pPr>
      <w:ind w:left="720"/>
      <w:contextualSpacing/>
    </w:pPr>
  </w:style>
  <w:style w:type="paragraph" w:customStyle="1" w:styleId="Bezmezer1">
    <w:name w:val="Bez mezer1"/>
    <w:qFormat/>
    <w:rsid w:val="00D33541"/>
    <w:rPr>
      <w:rFonts w:ascii="Calibri" w:hAnsi="Calibri" w:cs="Calibri"/>
      <w:sz w:val="22"/>
      <w:szCs w:val="22"/>
      <w:lang w:eastAsia="en-US"/>
    </w:rPr>
  </w:style>
  <w:style w:type="character" w:styleId="Hypertextovodkaz">
    <w:name w:val="Hyperlink"/>
    <w:uiPriority w:val="99"/>
    <w:unhideWhenUsed/>
    <w:rsid w:val="00D33541"/>
    <w:rPr>
      <w:color w:val="0000FF"/>
      <w:u w:val="single"/>
    </w:rPr>
  </w:style>
  <w:style w:type="paragraph" w:customStyle="1" w:styleId="Styl1">
    <w:name w:val="Styl1"/>
    <w:basedOn w:val="Prosttext"/>
    <w:next w:val="Seznamsodrkami"/>
    <w:uiPriority w:val="99"/>
    <w:qFormat/>
    <w:rsid w:val="00D33541"/>
    <w:pPr>
      <w:spacing w:afterAutospacing="1"/>
      <w:ind w:firstLine="709"/>
      <w:jc w:val="both"/>
    </w:pPr>
    <w:rPr>
      <w:rFonts w:ascii="Times New Roman (PCL6)" w:hAnsi="Times New Roman (PCL6)" w:cs="Times New Roman"/>
      <w:sz w:val="24"/>
      <w:szCs w:val="20"/>
      <w:lang w:val="en-GB"/>
    </w:rPr>
  </w:style>
  <w:style w:type="paragraph" w:styleId="Seznamsodrkami">
    <w:name w:val="List Bullet"/>
    <w:basedOn w:val="Normln"/>
    <w:uiPriority w:val="99"/>
    <w:semiHidden/>
    <w:unhideWhenUsed/>
    <w:rsid w:val="00D33541"/>
    <w:pPr>
      <w:numPr>
        <w:numId w:val="2"/>
      </w:numPr>
      <w:contextualSpacing/>
    </w:pPr>
  </w:style>
  <w:style w:type="paragraph" w:styleId="Prosttext">
    <w:name w:val="Plain Text"/>
    <w:basedOn w:val="Normln"/>
    <w:link w:val="ProsttextChar"/>
    <w:uiPriority w:val="99"/>
    <w:semiHidden/>
    <w:unhideWhenUsed/>
    <w:rsid w:val="00D33541"/>
    <w:rPr>
      <w:rFonts w:ascii="Consolas" w:hAnsi="Consolas" w:cs="Consolas"/>
      <w:sz w:val="21"/>
      <w:szCs w:val="21"/>
    </w:rPr>
  </w:style>
  <w:style w:type="character" w:customStyle="1" w:styleId="ProsttextChar">
    <w:name w:val="Prostý text Char"/>
    <w:basedOn w:val="Standardnpsmoodstavce"/>
    <w:link w:val="Prosttext"/>
    <w:uiPriority w:val="99"/>
    <w:semiHidden/>
    <w:rsid w:val="00D33541"/>
    <w:rPr>
      <w:rFonts w:ascii="Consolas" w:hAnsi="Consolas" w:cs="Consolas"/>
      <w:sz w:val="21"/>
      <w:szCs w:val="21"/>
    </w:rPr>
  </w:style>
  <w:style w:type="paragraph" w:customStyle="1" w:styleId="Normlnodsazen">
    <w:name w:val="Normální_odsazený"/>
    <w:basedOn w:val="Normln"/>
    <w:qFormat/>
    <w:rsid w:val="00D40646"/>
    <w:pPr>
      <w:spacing w:after="160" w:line="360" w:lineRule="auto"/>
      <w:ind w:firstLine="709"/>
    </w:pPr>
    <w:rPr>
      <w:rFonts w:asciiTheme="minorHAnsi" w:hAnsiTheme="minorHAnsi"/>
      <w:sz w:val="22"/>
      <w:lang w:eastAsia="en-US"/>
    </w:rPr>
  </w:style>
  <w:style w:type="paragraph" w:styleId="Normlnweb">
    <w:name w:val="Normal (Web)"/>
    <w:basedOn w:val="Normln"/>
    <w:uiPriority w:val="99"/>
    <w:qFormat/>
    <w:rsid w:val="00D40646"/>
    <w:pPr>
      <w:spacing w:before="100" w:beforeAutospacing="1" w:after="100" w:afterAutospacing="1"/>
    </w:pPr>
  </w:style>
  <w:style w:type="paragraph" w:styleId="Zkladntext">
    <w:name w:val="Body Text"/>
    <w:basedOn w:val="Normln"/>
    <w:link w:val="ZkladntextChar"/>
    <w:rsid w:val="00D40646"/>
    <w:pPr>
      <w:jc w:val="both"/>
    </w:pPr>
    <w:rPr>
      <w:rFonts w:ascii="Arial" w:hAnsi="Arial"/>
      <w:szCs w:val="20"/>
    </w:rPr>
  </w:style>
  <w:style w:type="character" w:customStyle="1" w:styleId="ZkladntextChar">
    <w:name w:val="Základní text Char"/>
    <w:basedOn w:val="Standardnpsmoodstavce"/>
    <w:link w:val="Zkladntext"/>
    <w:rsid w:val="00D40646"/>
    <w:rPr>
      <w:rFonts w:ascii="Arial" w:hAnsi="Arial"/>
      <w:sz w:val="24"/>
    </w:rPr>
  </w:style>
  <w:style w:type="paragraph" w:styleId="Zhlav">
    <w:name w:val="header"/>
    <w:basedOn w:val="Normln"/>
    <w:link w:val="ZhlavChar"/>
    <w:rsid w:val="00D40646"/>
    <w:pPr>
      <w:tabs>
        <w:tab w:val="center" w:pos="4536"/>
        <w:tab w:val="right" w:pos="9072"/>
      </w:tabs>
    </w:pPr>
    <w:rPr>
      <w:szCs w:val="20"/>
    </w:rPr>
  </w:style>
  <w:style w:type="character" w:customStyle="1" w:styleId="ZhlavChar">
    <w:name w:val="Záhlaví Char"/>
    <w:basedOn w:val="Standardnpsmoodstavce"/>
    <w:link w:val="Zhlav"/>
    <w:qFormat/>
    <w:rsid w:val="00D40646"/>
    <w:rPr>
      <w:sz w:val="24"/>
    </w:rPr>
  </w:style>
  <w:style w:type="paragraph" w:styleId="Zpat">
    <w:name w:val="footer"/>
    <w:basedOn w:val="Normln"/>
    <w:link w:val="ZpatChar"/>
    <w:uiPriority w:val="99"/>
    <w:unhideWhenUsed/>
    <w:rsid w:val="002D4C9F"/>
    <w:pPr>
      <w:tabs>
        <w:tab w:val="center" w:pos="4536"/>
        <w:tab w:val="right" w:pos="9072"/>
      </w:tabs>
    </w:pPr>
  </w:style>
  <w:style w:type="character" w:customStyle="1" w:styleId="ZpatChar">
    <w:name w:val="Zápatí Char"/>
    <w:basedOn w:val="Standardnpsmoodstavce"/>
    <w:link w:val="Zpat"/>
    <w:uiPriority w:val="99"/>
    <w:rsid w:val="002D4C9F"/>
    <w:rPr>
      <w:sz w:val="24"/>
      <w:szCs w:val="24"/>
    </w:rPr>
  </w:style>
  <w:style w:type="paragraph" w:customStyle="1" w:styleId="nadpisnazen">
    <w:name w:val="nadpis nařízení"/>
    <w:basedOn w:val="Normln"/>
    <w:next w:val="Normln"/>
    <w:rsid w:val="00E3060C"/>
    <w:pPr>
      <w:keepNext/>
      <w:keepLines/>
      <w:overflowPunct w:val="0"/>
      <w:autoSpaceDE w:val="0"/>
      <w:autoSpaceDN w:val="0"/>
      <w:adjustRightInd w:val="0"/>
      <w:spacing w:before="120" w:after="160" w:line="340" w:lineRule="exact"/>
      <w:jc w:val="center"/>
      <w:textAlignment w:val="baseline"/>
      <w:outlineLvl w:val="0"/>
    </w:pPr>
    <w:rPr>
      <w:rFonts w:asciiTheme="minorHAnsi" w:hAnsiTheme="minorHAnsi"/>
      <w:b/>
      <w:sz w:val="22"/>
      <w:szCs w:val="20"/>
    </w:rPr>
  </w:style>
  <w:style w:type="character" w:customStyle="1" w:styleId="xsptextcomputedfield">
    <w:name w:val="xsptextcomputedfield"/>
    <w:basedOn w:val="Standardnpsmoodstavce"/>
    <w:rsid w:val="0028009C"/>
  </w:style>
  <w:style w:type="paragraph" w:customStyle="1" w:styleId="Textparagrafu">
    <w:name w:val="Text paragrafu"/>
    <w:basedOn w:val="Normln"/>
    <w:rsid w:val="000F4AD7"/>
    <w:pPr>
      <w:overflowPunct w:val="0"/>
      <w:autoSpaceDE w:val="0"/>
      <w:autoSpaceDN w:val="0"/>
      <w:adjustRightInd w:val="0"/>
      <w:spacing w:before="240" w:after="160" w:line="340" w:lineRule="exact"/>
      <w:ind w:firstLine="425"/>
      <w:textAlignment w:val="baseline"/>
      <w:outlineLvl w:val="5"/>
    </w:pPr>
    <w:rPr>
      <w:rFonts w:ascii="Calibri" w:hAnsi="Calibri"/>
      <w:sz w:val="22"/>
      <w:szCs w:val="20"/>
    </w:rPr>
  </w:style>
  <w:style w:type="paragraph" w:styleId="Textbubliny">
    <w:name w:val="Balloon Text"/>
    <w:basedOn w:val="Normln"/>
    <w:link w:val="TextbublinyChar"/>
    <w:uiPriority w:val="99"/>
    <w:semiHidden/>
    <w:unhideWhenUsed/>
    <w:rsid w:val="00EA71B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71B2"/>
    <w:rPr>
      <w:rFonts w:ascii="Segoe UI" w:hAnsi="Segoe UI" w:cs="Segoe UI"/>
      <w:sz w:val="18"/>
      <w:szCs w:val="18"/>
    </w:rPr>
  </w:style>
  <w:style w:type="character" w:styleId="Odkaznakoment">
    <w:name w:val="annotation reference"/>
    <w:basedOn w:val="Standardnpsmoodstavce"/>
    <w:uiPriority w:val="99"/>
    <w:semiHidden/>
    <w:unhideWhenUsed/>
    <w:rsid w:val="000C0495"/>
    <w:rPr>
      <w:sz w:val="16"/>
      <w:szCs w:val="16"/>
    </w:rPr>
  </w:style>
  <w:style w:type="paragraph" w:styleId="Textkomente">
    <w:name w:val="annotation text"/>
    <w:basedOn w:val="Normln"/>
    <w:link w:val="TextkomenteChar"/>
    <w:uiPriority w:val="99"/>
    <w:semiHidden/>
    <w:unhideWhenUsed/>
    <w:rsid w:val="000C0495"/>
    <w:rPr>
      <w:sz w:val="20"/>
      <w:szCs w:val="20"/>
    </w:rPr>
  </w:style>
  <w:style w:type="character" w:customStyle="1" w:styleId="TextkomenteChar">
    <w:name w:val="Text komentáře Char"/>
    <w:basedOn w:val="Standardnpsmoodstavce"/>
    <w:link w:val="Textkomente"/>
    <w:uiPriority w:val="99"/>
    <w:semiHidden/>
    <w:rsid w:val="000C0495"/>
  </w:style>
  <w:style w:type="paragraph" w:styleId="Pedmtkomente">
    <w:name w:val="annotation subject"/>
    <w:basedOn w:val="Textkomente"/>
    <w:next w:val="Textkomente"/>
    <w:link w:val="PedmtkomenteChar"/>
    <w:uiPriority w:val="99"/>
    <w:semiHidden/>
    <w:unhideWhenUsed/>
    <w:rsid w:val="000C0495"/>
    <w:rPr>
      <w:b/>
      <w:bCs/>
    </w:rPr>
  </w:style>
  <w:style w:type="character" w:customStyle="1" w:styleId="PedmtkomenteChar">
    <w:name w:val="Předmět komentáře Char"/>
    <w:basedOn w:val="TextkomenteChar"/>
    <w:link w:val="Pedmtkomente"/>
    <w:uiPriority w:val="99"/>
    <w:semiHidden/>
    <w:rsid w:val="000C0495"/>
    <w:rPr>
      <w:b/>
      <w:bCs/>
    </w:rPr>
  </w:style>
  <w:style w:type="table" w:styleId="Mkatabulky">
    <w:name w:val="Table Grid"/>
    <w:basedOn w:val="Normlntabulka"/>
    <w:uiPriority w:val="39"/>
    <w:rsid w:val="0062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1FA7"/>
    <w:pPr>
      <w:autoSpaceDE w:val="0"/>
      <w:autoSpaceDN w:val="0"/>
      <w:adjustRightInd w:val="0"/>
    </w:pPr>
    <w:rPr>
      <w:color w:val="000000"/>
      <w:sz w:val="24"/>
      <w:szCs w:val="24"/>
    </w:rPr>
  </w:style>
  <w:style w:type="character" w:customStyle="1" w:styleId="Zkladntext3">
    <w:name w:val="Základní text (3)_"/>
    <w:basedOn w:val="Standardnpsmoodstavce"/>
    <w:link w:val="Zkladntext30"/>
    <w:uiPriority w:val="99"/>
    <w:qFormat/>
    <w:rsid w:val="000678FA"/>
    <w:rPr>
      <w:b/>
      <w:bCs/>
      <w:sz w:val="22"/>
      <w:szCs w:val="22"/>
      <w:shd w:val="clear" w:color="auto" w:fill="FFFFFF"/>
    </w:rPr>
  </w:style>
  <w:style w:type="paragraph" w:customStyle="1" w:styleId="Zkladntext30">
    <w:name w:val="Základní text (3)"/>
    <w:basedOn w:val="Normln"/>
    <w:link w:val="Zkladntext3"/>
    <w:uiPriority w:val="99"/>
    <w:qFormat/>
    <w:rsid w:val="000678FA"/>
    <w:pPr>
      <w:widowControl w:val="0"/>
      <w:shd w:val="clear" w:color="auto" w:fill="FFFFFF"/>
      <w:suppressAutoHyphens/>
      <w:spacing w:after="480" w:line="259" w:lineRule="exact"/>
    </w:pPr>
    <w:rPr>
      <w:b/>
      <w:bCs/>
      <w:sz w:val="22"/>
      <w:szCs w:val="22"/>
    </w:rPr>
  </w:style>
  <w:style w:type="paragraph" w:customStyle="1" w:styleId="Vchoz">
    <w:name w:val="Výchozí"/>
    <w:rsid w:val="000678FA"/>
    <w:pPr>
      <w:tabs>
        <w:tab w:val="left" w:pos="708"/>
      </w:tabs>
      <w:suppressAutoHyphens/>
      <w:spacing w:after="200" w:line="276" w:lineRule="auto"/>
    </w:pPr>
    <w:rPr>
      <w:rFonts w:ascii="Calibri" w:eastAsia="Droid Sans" w:hAnsi="Calibri" w:cs="Calibri"/>
      <w:sz w:val="22"/>
      <w:szCs w:val="22"/>
      <w:lang w:eastAsia="en-US"/>
    </w:rPr>
  </w:style>
  <w:style w:type="character" w:customStyle="1" w:styleId="OdstavecseseznamemChar">
    <w:name w:val="Odstavec se seznamem Char"/>
    <w:aliases w:val="Conclusion de partie Char,Odstavec se seznamem2 Char,Fiche List Paragraph Char,Odstavec1 Char,Dot pt Char,List Paragraph Char Char Char Char,Indicator Text Char,Numbered Para 1 Char,List Paragraph à moi Char,Odsek zoznamu4 Char"/>
    <w:link w:val="Odstavecseseznamem"/>
    <w:uiPriority w:val="34"/>
    <w:qFormat/>
    <w:locked/>
    <w:rsid w:val="003930FE"/>
    <w:rPr>
      <w:sz w:val="24"/>
      <w:szCs w:val="24"/>
    </w:rPr>
  </w:style>
  <w:style w:type="paragraph" w:styleId="Textpoznpodarou">
    <w:name w:val="footnote text"/>
    <w:aliases w:val="footnote,Footnote text,Voetnoottekst,Podrozdział,Tekst przypisu Znak Znak Znak Znak,Tekst przypisu Znak Znak Znak Znak Znak,Tekst przypisu Znak Znak Znak Znak Znak Znak Znak,Char,f,fn,Schriftart: 9 pt,Schriftart: 10 pt"/>
    <w:basedOn w:val="Normln"/>
    <w:link w:val="TextpoznpodarouChar"/>
    <w:unhideWhenUsed/>
    <w:qFormat/>
    <w:rsid w:val="00E966FC"/>
    <w:pPr>
      <w:spacing w:after="200" w:line="276" w:lineRule="auto"/>
    </w:pPr>
    <w:rPr>
      <w:rFonts w:ascii="Calibri" w:eastAsia="Calibri" w:hAnsi="Calibri"/>
      <w:sz w:val="20"/>
      <w:szCs w:val="20"/>
      <w:lang w:val="x-none" w:eastAsia="en-US"/>
    </w:rPr>
  </w:style>
  <w:style w:type="character" w:customStyle="1" w:styleId="TextpoznpodarouChar">
    <w:name w:val="Text pozn. pod čarou Char"/>
    <w:aliases w:val="footnote Char,Footnote text Char,Voetnoottekst Char,Podrozdział Char,Tekst przypisu Znak Znak Znak Znak Char,Tekst przypisu Znak Znak Znak Znak Znak Char,Tekst przypisu Znak Znak Znak Znak Znak Znak Znak Char,Char Char,f Char"/>
    <w:basedOn w:val="Standardnpsmoodstavce"/>
    <w:link w:val="Textpoznpodarou"/>
    <w:qFormat/>
    <w:rsid w:val="00E966FC"/>
    <w:rPr>
      <w:rFonts w:ascii="Calibri" w:eastAsia="Calibri" w:hAnsi="Calibri"/>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836588">
      <w:bodyDiv w:val="1"/>
      <w:marLeft w:val="0"/>
      <w:marRight w:val="0"/>
      <w:marTop w:val="0"/>
      <w:marBottom w:val="0"/>
      <w:divBdr>
        <w:top w:val="none" w:sz="0" w:space="0" w:color="auto"/>
        <w:left w:val="none" w:sz="0" w:space="0" w:color="auto"/>
        <w:bottom w:val="none" w:sz="0" w:space="0" w:color="auto"/>
        <w:right w:val="none" w:sz="0" w:space="0" w:color="auto"/>
      </w:divBdr>
    </w:div>
    <w:div w:id="450327367">
      <w:bodyDiv w:val="1"/>
      <w:marLeft w:val="0"/>
      <w:marRight w:val="0"/>
      <w:marTop w:val="0"/>
      <w:marBottom w:val="0"/>
      <w:divBdr>
        <w:top w:val="none" w:sz="0" w:space="0" w:color="auto"/>
        <w:left w:val="none" w:sz="0" w:space="0" w:color="auto"/>
        <w:bottom w:val="none" w:sz="0" w:space="0" w:color="auto"/>
        <w:right w:val="none" w:sz="0" w:space="0" w:color="auto"/>
      </w:divBdr>
    </w:div>
    <w:div w:id="656611074">
      <w:bodyDiv w:val="1"/>
      <w:marLeft w:val="0"/>
      <w:marRight w:val="0"/>
      <w:marTop w:val="0"/>
      <w:marBottom w:val="0"/>
      <w:divBdr>
        <w:top w:val="none" w:sz="0" w:space="0" w:color="auto"/>
        <w:left w:val="none" w:sz="0" w:space="0" w:color="auto"/>
        <w:bottom w:val="none" w:sz="0" w:space="0" w:color="auto"/>
        <w:right w:val="none" w:sz="0" w:space="0" w:color="auto"/>
      </w:divBdr>
    </w:div>
    <w:div w:id="859782012">
      <w:bodyDiv w:val="1"/>
      <w:marLeft w:val="0"/>
      <w:marRight w:val="0"/>
      <w:marTop w:val="0"/>
      <w:marBottom w:val="0"/>
      <w:divBdr>
        <w:top w:val="none" w:sz="0" w:space="0" w:color="auto"/>
        <w:left w:val="none" w:sz="0" w:space="0" w:color="auto"/>
        <w:bottom w:val="none" w:sz="0" w:space="0" w:color="auto"/>
        <w:right w:val="none" w:sz="0" w:space="0" w:color="auto"/>
      </w:divBdr>
    </w:div>
    <w:div w:id="1709135954">
      <w:bodyDiv w:val="1"/>
      <w:marLeft w:val="0"/>
      <w:marRight w:val="0"/>
      <w:marTop w:val="0"/>
      <w:marBottom w:val="0"/>
      <w:divBdr>
        <w:top w:val="none" w:sz="0" w:space="0" w:color="auto"/>
        <w:left w:val="none" w:sz="0" w:space="0" w:color="auto"/>
        <w:bottom w:val="none" w:sz="0" w:space="0" w:color="auto"/>
        <w:right w:val="none" w:sz="0" w:space="0" w:color="auto"/>
      </w:divBdr>
    </w:div>
    <w:div w:id="1730956254">
      <w:bodyDiv w:val="1"/>
      <w:marLeft w:val="0"/>
      <w:marRight w:val="0"/>
      <w:marTop w:val="0"/>
      <w:marBottom w:val="0"/>
      <w:divBdr>
        <w:top w:val="none" w:sz="0" w:space="0" w:color="auto"/>
        <w:left w:val="none" w:sz="0" w:space="0" w:color="auto"/>
        <w:bottom w:val="none" w:sz="0" w:space="0" w:color="auto"/>
        <w:right w:val="none" w:sz="0" w:space="0" w:color="auto"/>
      </w:divBdr>
    </w:div>
    <w:div w:id="2009550823">
      <w:bodyDiv w:val="1"/>
      <w:marLeft w:val="0"/>
      <w:marRight w:val="0"/>
      <w:marTop w:val="0"/>
      <w:marBottom w:val="0"/>
      <w:divBdr>
        <w:top w:val="none" w:sz="0" w:space="0" w:color="auto"/>
        <w:left w:val="none" w:sz="0" w:space="0" w:color="auto"/>
        <w:bottom w:val="none" w:sz="0" w:space="0" w:color="auto"/>
        <w:right w:val="none" w:sz="0" w:space="0" w:color="auto"/>
      </w:divBdr>
    </w:div>
    <w:div w:id="21085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irasek@mp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5FD32F77.dotm</Template>
  <TotalTime>0</TotalTime>
  <Pages>3</Pages>
  <Words>900</Words>
  <Characters>5501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Benešová Hana</dc:creator>
  <cp:keywords/>
  <dc:description/>
  <cp:lastModifiedBy>Dobřichovský Zdeněk</cp:lastModifiedBy>
  <cp:revision>3</cp:revision>
  <cp:lastPrinted>2020-09-09T11:58:00Z</cp:lastPrinted>
  <dcterms:created xsi:type="dcterms:W3CDTF">2022-05-24T10:15:00Z</dcterms:created>
  <dcterms:modified xsi:type="dcterms:W3CDTF">2022-06-01T10:26:00Z</dcterms:modified>
</cp:coreProperties>
</file>